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38D6" w:rsidRPr="001D4841" w:rsidRDefault="007360BD" w:rsidP="007360BD">
      <w:pPr>
        <w:jc w:val="center"/>
        <w:rPr>
          <w:rFonts w:ascii="Arial" w:hAnsi="Arial" w:cs="Arial"/>
          <w:b/>
          <w:sz w:val="24"/>
          <w:szCs w:val="24"/>
        </w:rPr>
      </w:pPr>
      <w:r w:rsidRPr="001D4841">
        <w:rPr>
          <w:rFonts w:ascii="Arial" w:hAnsi="Arial" w:cs="Arial"/>
          <w:b/>
          <w:sz w:val="24"/>
          <w:szCs w:val="24"/>
        </w:rPr>
        <w:t xml:space="preserve">Furthering Pharmacological and Physiological Assessment of the </w:t>
      </w:r>
      <w:r w:rsidR="004838D6" w:rsidRPr="001D4841">
        <w:rPr>
          <w:rFonts w:ascii="Arial" w:hAnsi="Arial" w:cs="Arial"/>
          <w:b/>
          <w:sz w:val="24"/>
          <w:szCs w:val="24"/>
        </w:rPr>
        <w:t>Glutamatergic</w:t>
      </w:r>
      <w:r w:rsidRPr="001D4841">
        <w:rPr>
          <w:rFonts w:ascii="Arial" w:hAnsi="Arial" w:cs="Arial"/>
          <w:b/>
          <w:sz w:val="24"/>
          <w:szCs w:val="24"/>
        </w:rPr>
        <w:t xml:space="preserve"> Receptors at the </w:t>
      </w:r>
      <w:r w:rsidRPr="00275E16">
        <w:rPr>
          <w:rFonts w:ascii="Arial" w:hAnsi="Arial" w:cs="Arial"/>
          <w:b/>
          <w:i/>
          <w:sz w:val="24"/>
          <w:szCs w:val="24"/>
        </w:rPr>
        <w:t>Drosophila</w:t>
      </w:r>
      <w:r w:rsidRPr="001D4841">
        <w:rPr>
          <w:rFonts w:ascii="Arial" w:hAnsi="Arial" w:cs="Arial"/>
          <w:b/>
          <w:sz w:val="24"/>
          <w:szCs w:val="24"/>
        </w:rPr>
        <w:t xml:space="preserve"> Neuromuscular Junction</w:t>
      </w:r>
    </w:p>
    <w:p w:rsidR="007360BD" w:rsidRPr="001D4841" w:rsidRDefault="007360BD" w:rsidP="007360BD">
      <w:pPr>
        <w:jc w:val="center"/>
        <w:rPr>
          <w:rFonts w:ascii="Arial" w:hAnsi="Arial" w:cs="Arial"/>
          <w:b/>
          <w:sz w:val="24"/>
          <w:szCs w:val="24"/>
        </w:rPr>
      </w:pPr>
    </w:p>
    <w:p w:rsidR="007360BD" w:rsidRPr="001D4841" w:rsidRDefault="007360BD" w:rsidP="007360BD">
      <w:pPr>
        <w:jc w:val="center"/>
        <w:rPr>
          <w:rFonts w:ascii="Arial" w:hAnsi="Arial" w:cs="Arial"/>
          <w:b/>
          <w:sz w:val="24"/>
          <w:szCs w:val="24"/>
        </w:rPr>
      </w:pPr>
      <w:r w:rsidRPr="001D4841">
        <w:rPr>
          <w:rFonts w:ascii="Arial" w:hAnsi="Arial" w:cs="Arial"/>
          <w:b/>
          <w:sz w:val="24"/>
          <w:szCs w:val="24"/>
        </w:rPr>
        <w:t>by</w:t>
      </w:r>
    </w:p>
    <w:p w:rsidR="007360BD" w:rsidRPr="001D4841" w:rsidRDefault="007360BD" w:rsidP="007360BD">
      <w:pPr>
        <w:jc w:val="center"/>
        <w:rPr>
          <w:rFonts w:ascii="Arial" w:hAnsi="Arial" w:cs="Arial"/>
          <w:b/>
          <w:sz w:val="24"/>
          <w:szCs w:val="24"/>
        </w:rPr>
      </w:pPr>
    </w:p>
    <w:p w:rsidR="007360BD" w:rsidRPr="001D4841" w:rsidRDefault="007360BD" w:rsidP="007360BD">
      <w:pPr>
        <w:jc w:val="center"/>
        <w:rPr>
          <w:rFonts w:ascii="Arial" w:hAnsi="Arial" w:cs="Arial"/>
          <w:b/>
          <w:sz w:val="24"/>
          <w:szCs w:val="24"/>
        </w:rPr>
      </w:pPr>
      <w:r w:rsidRPr="001D4841">
        <w:rPr>
          <w:rFonts w:ascii="Arial" w:hAnsi="Arial" w:cs="Arial"/>
          <w:b/>
          <w:sz w:val="24"/>
          <w:szCs w:val="24"/>
        </w:rPr>
        <w:t>J. -Y. Lee</w:t>
      </w:r>
      <w:r w:rsidRPr="001D4841">
        <w:rPr>
          <w:rFonts w:ascii="Arial" w:hAnsi="Arial" w:cs="Arial"/>
          <w:b/>
          <w:sz w:val="24"/>
          <w:szCs w:val="24"/>
          <w:vertAlign w:val="superscript"/>
        </w:rPr>
        <w:t>1,2</w:t>
      </w:r>
      <w:r w:rsidRPr="001D4841">
        <w:rPr>
          <w:rFonts w:ascii="Arial" w:hAnsi="Arial" w:cs="Arial"/>
          <w:b/>
          <w:sz w:val="24"/>
          <w:szCs w:val="24"/>
        </w:rPr>
        <w:t>, D. Bhatt</w:t>
      </w:r>
      <w:r w:rsidRPr="001D4841">
        <w:rPr>
          <w:rFonts w:ascii="Arial" w:hAnsi="Arial" w:cs="Arial"/>
          <w:b/>
          <w:sz w:val="24"/>
          <w:szCs w:val="24"/>
          <w:vertAlign w:val="superscript"/>
        </w:rPr>
        <w:t>3</w:t>
      </w:r>
      <w:r w:rsidRPr="001D4841">
        <w:rPr>
          <w:rFonts w:ascii="Arial" w:hAnsi="Arial" w:cs="Arial"/>
          <w:b/>
          <w:sz w:val="24"/>
          <w:szCs w:val="24"/>
        </w:rPr>
        <w:t>, D. Bhatt</w:t>
      </w:r>
      <w:r w:rsidRPr="001D4841">
        <w:rPr>
          <w:rFonts w:ascii="Arial" w:hAnsi="Arial" w:cs="Arial"/>
          <w:b/>
          <w:sz w:val="24"/>
          <w:szCs w:val="24"/>
          <w:vertAlign w:val="superscript"/>
        </w:rPr>
        <w:t>4</w:t>
      </w:r>
      <w:r w:rsidRPr="001D4841">
        <w:rPr>
          <w:rFonts w:ascii="Arial" w:hAnsi="Arial" w:cs="Arial"/>
          <w:b/>
          <w:sz w:val="24"/>
          <w:szCs w:val="24"/>
        </w:rPr>
        <w:t>, W.-Y. Chung</w:t>
      </w:r>
      <w:r w:rsidRPr="001D4841">
        <w:rPr>
          <w:rFonts w:ascii="Arial" w:hAnsi="Arial" w:cs="Arial"/>
          <w:b/>
          <w:sz w:val="24"/>
          <w:szCs w:val="24"/>
          <w:vertAlign w:val="superscript"/>
        </w:rPr>
        <w:t>1,5</w:t>
      </w:r>
      <w:r w:rsidRPr="001D4841">
        <w:rPr>
          <w:rFonts w:ascii="Arial" w:hAnsi="Arial" w:cs="Arial"/>
          <w:b/>
          <w:sz w:val="24"/>
          <w:szCs w:val="24"/>
        </w:rPr>
        <w:t xml:space="preserve">, </w:t>
      </w:r>
      <w:r w:rsidRPr="001D4841">
        <w:rPr>
          <w:rFonts w:ascii="Arial" w:hAnsi="Arial" w:cs="Arial"/>
          <w:b/>
          <w:sz w:val="24"/>
          <w:szCs w:val="24"/>
          <w:vertAlign w:val="superscript"/>
        </w:rPr>
        <w:t xml:space="preserve"> </w:t>
      </w:r>
      <w:r w:rsidRPr="001D4841">
        <w:rPr>
          <w:rFonts w:ascii="Arial" w:hAnsi="Arial" w:cs="Arial"/>
          <w:b/>
          <w:sz w:val="24"/>
          <w:szCs w:val="24"/>
        </w:rPr>
        <w:t>and R. L. Cooper</w:t>
      </w:r>
      <w:r w:rsidRPr="001D4841">
        <w:rPr>
          <w:rFonts w:ascii="Arial" w:hAnsi="Arial" w:cs="Arial"/>
          <w:b/>
          <w:sz w:val="24"/>
          <w:szCs w:val="24"/>
          <w:vertAlign w:val="superscript"/>
        </w:rPr>
        <w:t>1</w:t>
      </w:r>
    </w:p>
    <w:p w:rsidR="007360BD" w:rsidRPr="001D4841" w:rsidRDefault="007360BD" w:rsidP="007360BD">
      <w:pPr>
        <w:spacing w:after="0" w:line="240" w:lineRule="auto"/>
        <w:rPr>
          <w:rFonts w:ascii="Arial" w:hAnsi="Arial" w:cs="Arial"/>
          <w:vertAlign w:val="superscript"/>
        </w:rPr>
      </w:pPr>
    </w:p>
    <w:p w:rsidR="007360BD" w:rsidRPr="001D4841" w:rsidRDefault="007360BD" w:rsidP="007360BD">
      <w:pPr>
        <w:spacing w:after="0" w:line="240" w:lineRule="auto"/>
        <w:rPr>
          <w:rFonts w:ascii="Arial" w:hAnsi="Arial" w:cs="Arial"/>
        </w:rPr>
      </w:pPr>
      <w:r w:rsidRPr="001D4841">
        <w:rPr>
          <w:rFonts w:ascii="Arial" w:hAnsi="Arial" w:cs="Arial"/>
          <w:vertAlign w:val="superscript"/>
        </w:rPr>
        <w:t>1</w:t>
      </w:r>
      <w:r w:rsidRPr="001D4841">
        <w:rPr>
          <w:rFonts w:ascii="Arial" w:hAnsi="Arial" w:cs="Arial"/>
        </w:rPr>
        <w:t>Dept  of Biology, Univ</w:t>
      </w:r>
      <w:r w:rsidR="00182BED" w:rsidRPr="001D4841">
        <w:rPr>
          <w:rFonts w:ascii="Arial" w:hAnsi="Arial" w:cs="Arial"/>
        </w:rPr>
        <w:t>ersity</w:t>
      </w:r>
      <w:r w:rsidRPr="001D4841">
        <w:rPr>
          <w:rFonts w:ascii="Arial" w:hAnsi="Arial" w:cs="Arial"/>
        </w:rPr>
        <w:t xml:space="preserve"> of Kentucky, Lexington, KY, USA 40506-0225;</w:t>
      </w:r>
    </w:p>
    <w:p w:rsidR="007360BD" w:rsidRPr="001D4841" w:rsidRDefault="007360BD" w:rsidP="007360BD">
      <w:pPr>
        <w:spacing w:after="0" w:line="240" w:lineRule="auto"/>
        <w:rPr>
          <w:rFonts w:ascii="Arial" w:hAnsi="Arial" w:cs="Arial"/>
        </w:rPr>
      </w:pPr>
      <w:r w:rsidRPr="001D4841">
        <w:rPr>
          <w:rFonts w:ascii="Arial" w:hAnsi="Arial" w:cs="Arial"/>
          <w:vertAlign w:val="superscript"/>
        </w:rPr>
        <w:t>2</w:t>
      </w:r>
      <w:r w:rsidRPr="001D4841">
        <w:rPr>
          <w:rFonts w:ascii="Arial" w:hAnsi="Arial" w:cs="Arial"/>
        </w:rPr>
        <w:t>Army, Daejun, Republic of Korea;</w:t>
      </w:r>
    </w:p>
    <w:p w:rsidR="007360BD" w:rsidRPr="001D4841" w:rsidRDefault="007360BD" w:rsidP="007360BD">
      <w:pPr>
        <w:spacing w:after="0" w:line="240" w:lineRule="auto"/>
        <w:rPr>
          <w:rFonts w:ascii="Arial" w:hAnsi="Arial" w:cs="Arial"/>
        </w:rPr>
      </w:pPr>
      <w:r w:rsidRPr="001D4841">
        <w:rPr>
          <w:rFonts w:ascii="Arial" w:hAnsi="Arial" w:cs="Arial"/>
          <w:vertAlign w:val="superscript"/>
        </w:rPr>
        <w:t>3</w:t>
      </w:r>
      <w:r w:rsidRPr="001D4841">
        <w:rPr>
          <w:rFonts w:ascii="Arial" w:hAnsi="Arial" w:cs="Arial"/>
        </w:rPr>
        <w:t>Univ. of KY College of Medicine, Lexington, KY 40536-0298</w:t>
      </w:r>
    </w:p>
    <w:p w:rsidR="007360BD" w:rsidRPr="001D4841" w:rsidRDefault="007360BD" w:rsidP="007360BD">
      <w:pPr>
        <w:spacing w:after="0" w:line="240" w:lineRule="auto"/>
        <w:rPr>
          <w:rFonts w:ascii="Arial" w:hAnsi="Arial" w:cs="Arial"/>
        </w:rPr>
      </w:pPr>
      <w:r w:rsidRPr="00A75AE6">
        <w:rPr>
          <w:rFonts w:ascii="Arial" w:hAnsi="Arial" w:cs="Arial"/>
          <w:vertAlign w:val="superscript"/>
        </w:rPr>
        <w:t>4</w:t>
      </w:r>
      <w:r w:rsidRPr="00A75AE6">
        <w:rPr>
          <w:rFonts w:ascii="Arial" w:hAnsi="Arial" w:cs="Arial"/>
        </w:rPr>
        <w:t>Col. of Pharmacy, University of KY</w:t>
      </w:r>
      <w:r w:rsidRPr="001D4841">
        <w:rPr>
          <w:rFonts w:ascii="Arial" w:hAnsi="Arial" w:cs="Arial"/>
        </w:rPr>
        <w:t xml:space="preserve"> USA 40536-0082</w:t>
      </w:r>
    </w:p>
    <w:p w:rsidR="007360BD" w:rsidRPr="001D4841" w:rsidRDefault="007360BD" w:rsidP="007360BD">
      <w:pPr>
        <w:spacing w:after="0" w:line="240" w:lineRule="auto"/>
        <w:rPr>
          <w:rFonts w:ascii="Arial" w:hAnsi="Arial" w:cs="Arial"/>
        </w:rPr>
      </w:pPr>
      <w:r w:rsidRPr="001D4841">
        <w:rPr>
          <w:rFonts w:ascii="Arial" w:hAnsi="Arial" w:cs="Arial"/>
          <w:vertAlign w:val="superscript"/>
        </w:rPr>
        <w:t>5</w:t>
      </w:r>
      <w:r w:rsidRPr="001D4841">
        <w:rPr>
          <w:rFonts w:ascii="Arial" w:hAnsi="Arial" w:cs="Arial"/>
        </w:rPr>
        <w:t>Dept. of Chemistry, Korea Military Academy, Seoul, Republic of Korea.</w:t>
      </w:r>
    </w:p>
    <w:p w:rsidR="007360BD" w:rsidRPr="001D4841" w:rsidRDefault="007360BD" w:rsidP="007360BD">
      <w:pPr>
        <w:rPr>
          <w:rFonts w:ascii="Arial" w:hAnsi="Arial" w:cs="Arial"/>
          <w:sz w:val="28"/>
        </w:rPr>
      </w:pPr>
    </w:p>
    <w:p w:rsidR="007360BD" w:rsidRPr="001D4841" w:rsidRDefault="007360BD" w:rsidP="007360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r w:rsidRPr="001D4841">
        <w:rPr>
          <w:rFonts w:ascii="Arial" w:hAnsi="Arial" w:cs="Arial"/>
        </w:rPr>
        <w:t xml:space="preserve">Abbreviated Title:  Glutamate receptors at the </w:t>
      </w:r>
      <w:r w:rsidRPr="00275E16">
        <w:rPr>
          <w:rFonts w:ascii="Arial" w:hAnsi="Arial" w:cs="Arial"/>
          <w:i/>
          <w:iCs/>
        </w:rPr>
        <w:t>Drosophila</w:t>
      </w:r>
      <w:r w:rsidRPr="001D4841">
        <w:rPr>
          <w:rFonts w:ascii="Arial" w:hAnsi="Arial" w:cs="Arial"/>
        </w:rPr>
        <w:t xml:space="preserve"> neuromuscular junction</w:t>
      </w:r>
    </w:p>
    <w:p w:rsidR="007360BD" w:rsidRPr="001D4841" w:rsidRDefault="007360BD" w:rsidP="007360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rFonts w:ascii="Arial" w:hAnsi="Arial" w:cs="Arial"/>
        </w:rPr>
      </w:pPr>
    </w:p>
    <w:p w:rsidR="007360BD" w:rsidRPr="001D4841" w:rsidRDefault="007360BD" w:rsidP="007360BD">
      <w:pPr>
        <w:spacing w:after="0" w:line="240" w:lineRule="auto"/>
        <w:jc w:val="both"/>
        <w:rPr>
          <w:rFonts w:ascii="Arial" w:hAnsi="Arial" w:cs="Arial"/>
        </w:rPr>
      </w:pPr>
      <w:r w:rsidRPr="001D4841">
        <w:rPr>
          <w:rFonts w:ascii="Arial" w:hAnsi="Arial" w:cs="Arial"/>
        </w:rPr>
        <w:t>* To whom correspondence should be addressed:</w:t>
      </w:r>
    </w:p>
    <w:p w:rsidR="007360BD" w:rsidRPr="001D4841" w:rsidRDefault="007360BD" w:rsidP="007360BD">
      <w:pPr>
        <w:spacing w:after="0" w:line="240" w:lineRule="auto"/>
        <w:jc w:val="both"/>
        <w:rPr>
          <w:rFonts w:ascii="Arial" w:hAnsi="Arial" w:cs="Arial"/>
        </w:rPr>
      </w:pPr>
      <w:r w:rsidRPr="001D4841">
        <w:rPr>
          <w:rFonts w:ascii="Arial" w:hAnsi="Arial" w:cs="Arial"/>
        </w:rPr>
        <w:t>Dr. Robin L. Cooper</w:t>
      </w:r>
    </w:p>
    <w:p w:rsidR="007360BD" w:rsidRPr="001D4841" w:rsidRDefault="007360BD" w:rsidP="007360BD">
      <w:pPr>
        <w:spacing w:after="0" w:line="240" w:lineRule="auto"/>
        <w:jc w:val="both"/>
        <w:rPr>
          <w:rFonts w:ascii="Arial" w:hAnsi="Arial" w:cs="Arial"/>
        </w:rPr>
      </w:pPr>
      <w:r w:rsidRPr="001D4841">
        <w:rPr>
          <w:rFonts w:ascii="Arial" w:hAnsi="Arial" w:cs="Arial"/>
        </w:rPr>
        <w:t>Dept. of Biology</w:t>
      </w:r>
    </w:p>
    <w:p w:rsidR="007360BD" w:rsidRPr="001D4841" w:rsidRDefault="007360BD" w:rsidP="007360BD">
      <w:pPr>
        <w:spacing w:after="0" w:line="240" w:lineRule="auto"/>
        <w:jc w:val="both"/>
        <w:rPr>
          <w:rFonts w:ascii="Arial" w:hAnsi="Arial" w:cs="Arial"/>
        </w:rPr>
      </w:pPr>
      <w:r w:rsidRPr="001D4841">
        <w:rPr>
          <w:rFonts w:ascii="Arial" w:hAnsi="Arial" w:cs="Arial"/>
        </w:rPr>
        <w:t>675 Rose Street.</w:t>
      </w:r>
    </w:p>
    <w:p w:rsidR="007360BD" w:rsidRPr="001D4841" w:rsidRDefault="007360BD" w:rsidP="007360BD">
      <w:pPr>
        <w:spacing w:after="0" w:line="240" w:lineRule="auto"/>
        <w:jc w:val="both"/>
        <w:rPr>
          <w:rFonts w:ascii="Arial" w:hAnsi="Arial" w:cs="Arial"/>
        </w:rPr>
      </w:pPr>
      <w:r w:rsidRPr="001D4841">
        <w:rPr>
          <w:rFonts w:ascii="Arial" w:hAnsi="Arial" w:cs="Arial"/>
        </w:rPr>
        <w:t>University of Kentucky, Lexington, KY 40506-0225</w:t>
      </w:r>
    </w:p>
    <w:p w:rsidR="007360BD" w:rsidRPr="001D4841" w:rsidRDefault="007360BD" w:rsidP="007360BD">
      <w:pPr>
        <w:spacing w:after="0" w:line="240" w:lineRule="auto"/>
        <w:jc w:val="both"/>
        <w:rPr>
          <w:rFonts w:ascii="Arial" w:hAnsi="Arial" w:cs="Arial"/>
        </w:rPr>
      </w:pPr>
      <w:r w:rsidRPr="001D4841">
        <w:rPr>
          <w:rFonts w:ascii="Arial" w:hAnsi="Arial" w:cs="Arial"/>
        </w:rPr>
        <w:t>Phone: 859-257-5950</w:t>
      </w:r>
    </w:p>
    <w:p w:rsidR="007360BD" w:rsidRPr="001D4841" w:rsidRDefault="007360BD" w:rsidP="007360BD">
      <w:pPr>
        <w:spacing w:after="0" w:line="240" w:lineRule="auto"/>
        <w:jc w:val="both"/>
        <w:rPr>
          <w:rFonts w:ascii="Arial" w:hAnsi="Arial" w:cs="Arial"/>
        </w:rPr>
      </w:pPr>
      <w:r w:rsidRPr="001D4841">
        <w:rPr>
          <w:rFonts w:ascii="Arial" w:hAnsi="Arial" w:cs="Arial"/>
        </w:rPr>
        <w:t>Fax:  859-257-1717</w:t>
      </w:r>
    </w:p>
    <w:p w:rsidR="007360BD" w:rsidRPr="001D4841" w:rsidRDefault="007360BD" w:rsidP="007360BD">
      <w:pPr>
        <w:spacing w:after="0" w:line="240" w:lineRule="auto"/>
        <w:jc w:val="both"/>
        <w:rPr>
          <w:rFonts w:ascii="Arial" w:hAnsi="Arial" w:cs="Arial"/>
        </w:rPr>
      </w:pPr>
      <w:r w:rsidRPr="001D4841">
        <w:rPr>
          <w:rFonts w:ascii="Arial" w:hAnsi="Arial" w:cs="Arial"/>
        </w:rPr>
        <w:t>Email: RLCOOP1@email.uky.edu</w:t>
      </w:r>
    </w:p>
    <w:p w:rsidR="007360BD" w:rsidRPr="001D4841" w:rsidRDefault="007360BD" w:rsidP="007360BD">
      <w:pPr>
        <w:spacing w:after="0" w:line="240" w:lineRule="auto"/>
        <w:jc w:val="both"/>
        <w:rPr>
          <w:rFonts w:ascii="Arial" w:hAnsi="Arial" w:cs="Arial"/>
        </w:rPr>
      </w:pPr>
    </w:p>
    <w:p w:rsidR="007360BD" w:rsidRPr="001D4841" w:rsidRDefault="007360BD" w:rsidP="007360BD">
      <w:pPr>
        <w:spacing w:after="0" w:line="240" w:lineRule="auto"/>
        <w:jc w:val="both"/>
        <w:rPr>
          <w:rFonts w:ascii="Arial" w:hAnsi="Arial" w:cs="Arial"/>
          <w:b/>
        </w:rPr>
      </w:pPr>
    </w:p>
    <w:p w:rsidR="007360BD" w:rsidRPr="001D4841" w:rsidRDefault="007360BD" w:rsidP="007360BD">
      <w:pPr>
        <w:spacing w:after="0" w:line="240" w:lineRule="auto"/>
        <w:jc w:val="both"/>
        <w:rPr>
          <w:rFonts w:ascii="Arial" w:hAnsi="Arial" w:cs="Arial"/>
          <w:b/>
        </w:rPr>
      </w:pPr>
      <w:r w:rsidRPr="001D4841">
        <w:rPr>
          <w:rFonts w:ascii="Arial" w:hAnsi="Arial" w:cs="Arial"/>
          <w:b/>
        </w:rPr>
        <w:t>Acknowledgments</w:t>
      </w:r>
    </w:p>
    <w:p w:rsidR="007360BD" w:rsidRPr="001D4841" w:rsidRDefault="007360BD" w:rsidP="007360BD">
      <w:pPr>
        <w:rPr>
          <w:rFonts w:ascii="Arial" w:eastAsia="Times New Roman" w:hAnsi="Arial" w:cs="Arial"/>
        </w:rPr>
      </w:pPr>
      <w:r w:rsidRPr="001D4841">
        <w:rPr>
          <w:rStyle w:val="Hypertext"/>
          <w:rFonts w:ascii="Arial" w:hAnsi="Arial" w:cs="Arial"/>
          <w:color w:val="auto"/>
          <w:u w:val="none"/>
        </w:rPr>
        <w:tab/>
      </w:r>
      <w:r w:rsidRPr="001D4841">
        <w:rPr>
          <w:rFonts w:ascii="Arial" w:hAnsi="Arial" w:cs="Arial"/>
          <w:sz w:val="24"/>
          <w:szCs w:val="24"/>
        </w:rPr>
        <w:t xml:space="preserve">Funding provided by the </w:t>
      </w:r>
      <w:r w:rsidRPr="001D4841">
        <w:rPr>
          <w:rFonts w:ascii="Arial" w:eastAsia="Times New Roman" w:hAnsi="Arial" w:cs="Arial"/>
        </w:rPr>
        <w:t xml:space="preserve">Korean Army </w:t>
      </w:r>
      <w:r w:rsidRPr="001D4841">
        <w:rPr>
          <w:rFonts w:ascii="Arial" w:hAnsi="Arial" w:cs="Arial"/>
        </w:rPr>
        <w:t>and the</w:t>
      </w:r>
      <w:r w:rsidRPr="001D4841">
        <w:rPr>
          <w:rFonts w:ascii="Arial" w:eastAsia="Times New Roman" w:hAnsi="Arial" w:cs="Arial"/>
        </w:rPr>
        <w:t xml:space="preserve"> Korea</w:t>
      </w:r>
      <w:r w:rsidRPr="001D4841">
        <w:rPr>
          <w:rFonts w:ascii="Arial" w:hAnsi="Arial" w:cs="Arial"/>
        </w:rPr>
        <w:t>n</w:t>
      </w:r>
      <w:r w:rsidRPr="001D4841">
        <w:rPr>
          <w:rFonts w:ascii="Arial" w:eastAsia="Times New Roman" w:hAnsi="Arial" w:cs="Arial"/>
        </w:rPr>
        <w:t xml:space="preserve"> Military Academy (JYL, WYC).</w:t>
      </w:r>
      <w:r w:rsidRPr="001D4841">
        <w:rPr>
          <w:rFonts w:ascii="Arial" w:hAnsi="Arial" w:cs="Arial"/>
        </w:rPr>
        <w:t xml:space="preserve"> </w:t>
      </w:r>
      <w:r w:rsidRPr="001D4841">
        <w:rPr>
          <w:rStyle w:val="Hypertext"/>
          <w:rFonts w:ascii="Arial" w:hAnsi="Arial" w:cs="Arial"/>
          <w:color w:val="auto"/>
          <w:u w:val="none"/>
        </w:rPr>
        <w:t xml:space="preserve">Funding was also provided </w:t>
      </w:r>
      <w:r w:rsidRPr="001D4841">
        <w:rPr>
          <w:rFonts w:ascii="Arial" w:hAnsi="Arial" w:cs="Arial"/>
        </w:rPr>
        <w:t>in part by NSF grant NSF-IBN-0131459 (RLC) and G. Ribble Fellowships in the Department of Biology at the University of Kentucky (DB &amp; DB).</w:t>
      </w:r>
      <w:r w:rsidRPr="001D4841">
        <w:rPr>
          <w:rFonts w:ascii="Arial" w:hAnsi="Arial" w:cs="Arial"/>
          <w:b/>
          <w:sz w:val="24"/>
          <w:szCs w:val="24"/>
        </w:rPr>
        <w:t xml:space="preserve"> </w:t>
      </w:r>
    </w:p>
    <w:p w:rsidR="007360BD" w:rsidRPr="001D4841" w:rsidRDefault="007360BD" w:rsidP="007360BD">
      <w:pPr>
        <w:spacing w:after="0" w:line="240" w:lineRule="auto"/>
        <w:jc w:val="both"/>
        <w:rPr>
          <w:rFonts w:ascii="Arial" w:hAnsi="Arial" w:cs="Arial"/>
          <w:b/>
          <w:sz w:val="24"/>
          <w:szCs w:val="24"/>
        </w:rPr>
      </w:pPr>
    </w:p>
    <w:p w:rsidR="00A636E3" w:rsidRPr="001D4841" w:rsidRDefault="00A636E3" w:rsidP="004838D6">
      <w:pPr>
        <w:jc w:val="both"/>
        <w:rPr>
          <w:rFonts w:ascii="Arial" w:hAnsi="Arial" w:cs="Arial"/>
          <w:b/>
          <w:sz w:val="24"/>
          <w:szCs w:val="24"/>
        </w:rPr>
      </w:pPr>
    </w:p>
    <w:p w:rsidR="007360BD" w:rsidRPr="001D4841" w:rsidRDefault="007360BD">
      <w:pPr>
        <w:rPr>
          <w:rFonts w:ascii="Arial" w:hAnsi="Arial" w:cs="Arial"/>
          <w:b/>
          <w:sz w:val="24"/>
          <w:szCs w:val="24"/>
        </w:rPr>
      </w:pPr>
      <w:r w:rsidRPr="001D4841">
        <w:rPr>
          <w:rFonts w:ascii="Arial" w:hAnsi="Arial" w:cs="Arial"/>
          <w:b/>
          <w:sz w:val="24"/>
          <w:szCs w:val="24"/>
        </w:rPr>
        <w:br w:type="page"/>
      </w:r>
    </w:p>
    <w:p w:rsidR="00146203" w:rsidRPr="00782D7B" w:rsidRDefault="00146203" w:rsidP="008E4CBF">
      <w:pPr>
        <w:spacing w:line="480" w:lineRule="auto"/>
        <w:jc w:val="both"/>
        <w:rPr>
          <w:rFonts w:ascii="Arial" w:hAnsi="Arial" w:cs="Arial"/>
          <w:b/>
          <w:sz w:val="24"/>
          <w:szCs w:val="24"/>
        </w:rPr>
      </w:pPr>
      <w:r w:rsidRPr="00782D7B">
        <w:rPr>
          <w:rFonts w:ascii="Arial" w:hAnsi="Arial" w:cs="Arial"/>
          <w:b/>
          <w:sz w:val="24"/>
          <w:szCs w:val="24"/>
        </w:rPr>
        <w:lastRenderedPageBreak/>
        <w:t>ABSTRACT</w:t>
      </w:r>
    </w:p>
    <w:p w:rsidR="00FC6DE7" w:rsidRPr="00782D7B" w:rsidRDefault="00F93AF3" w:rsidP="00F93AF3">
      <w:pPr>
        <w:jc w:val="both"/>
        <w:rPr>
          <w:rFonts w:ascii="Arial" w:hAnsi="Arial" w:cs="Arial"/>
          <w:sz w:val="24"/>
          <w:szCs w:val="24"/>
        </w:rPr>
      </w:pPr>
      <w:r>
        <w:rPr>
          <w:rFonts w:ascii="Arial" w:hAnsi="Arial" w:cs="Arial"/>
          <w:i/>
          <w:iCs/>
          <w:sz w:val="24"/>
          <w:szCs w:val="24"/>
        </w:rPr>
        <w:tab/>
      </w:r>
      <w:r w:rsidR="00E3037C" w:rsidRPr="00782D7B">
        <w:rPr>
          <w:rFonts w:ascii="Arial" w:hAnsi="Arial" w:cs="Arial"/>
          <w:i/>
          <w:iCs/>
          <w:sz w:val="24"/>
          <w:szCs w:val="24"/>
        </w:rPr>
        <w:t>Drosophila</w:t>
      </w:r>
      <w:r w:rsidR="00E3037C" w:rsidRPr="00782D7B">
        <w:rPr>
          <w:rFonts w:ascii="Arial" w:hAnsi="Arial" w:cs="Arial"/>
          <w:sz w:val="24"/>
          <w:szCs w:val="24"/>
        </w:rPr>
        <w:t xml:space="preserve"> larval neuromuscular junctions (NMJs) serve as a model for synaptic physiology. The molecular </w:t>
      </w:r>
      <w:r w:rsidR="008E4CBF" w:rsidRPr="00782D7B">
        <w:rPr>
          <w:rFonts w:ascii="Arial" w:hAnsi="Arial" w:cs="Arial"/>
          <w:sz w:val="24"/>
          <w:szCs w:val="24"/>
        </w:rPr>
        <w:t>sequences of the postsynaptic glutamate receptors have</w:t>
      </w:r>
      <w:r w:rsidR="00E3037C" w:rsidRPr="00782D7B">
        <w:rPr>
          <w:rFonts w:ascii="Arial" w:hAnsi="Arial" w:cs="Arial"/>
          <w:sz w:val="24"/>
          <w:szCs w:val="24"/>
        </w:rPr>
        <w:t xml:space="preserve"> been described; however, the pharmacological profile h</w:t>
      </w:r>
      <w:r w:rsidR="004916A6" w:rsidRPr="00782D7B">
        <w:rPr>
          <w:rFonts w:ascii="Arial" w:hAnsi="Arial" w:cs="Arial"/>
          <w:sz w:val="24"/>
          <w:szCs w:val="24"/>
        </w:rPr>
        <w:t>as</w:t>
      </w:r>
      <w:r w:rsidR="00E3037C" w:rsidRPr="00782D7B">
        <w:rPr>
          <w:rFonts w:ascii="Arial" w:hAnsi="Arial" w:cs="Arial"/>
          <w:sz w:val="24"/>
          <w:szCs w:val="24"/>
        </w:rPr>
        <w:t xml:space="preserve"> not been fully elucidated. </w:t>
      </w:r>
      <w:r w:rsidR="00B97718">
        <w:rPr>
          <w:rFonts w:ascii="Arial" w:hAnsi="Arial" w:cs="Arial"/>
          <w:sz w:val="24"/>
          <w:szCs w:val="24"/>
        </w:rPr>
        <w:t>T</w:t>
      </w:r>
      <w:r w:rsidR="003B247B" w:rsidRPr="00782D7B">
        <w:rPr>
          <w:rFonts w:ascii="Arial" w:hAnsi="Arial" w:cs="Arial"/>
          <w:sz w:val="24"/>
          <w:szCs w:val="24"/>
        </w:rPr>
        <w:t xml:space="preserve">he postsynaptic molecular sequence </w:t>
      </w:r>
      <w:r w:rsidR="00B97718">
        <w:rPr>
          <w:rFonts w:ascii="Arial" w:hAnsi="Arial" w:cs="Arial"/>
          <w:sz w:val="24"/>
          <w:szCs w:val="24"/>
        </w:rPr>
        <w:t xml:space="preserve">suggests a novel glutamate receptor </w:t>
      </w:r>
      <w:r w:rsidR="00E3037C" w:rsidRPr="00782D7B">
        <w:rPr>
          <w:rFonts w:ascii="Arial" w:hAnsi="Arial" w:cs="Arial"/>
          <w:sz w:val="24"/>
          <w:szCs w:val="24"/>
        </w:rPr>
        <w:t>subtype</w:t>
      </w:r>
      <w:r w:rsidR="003B247B" w:rsidRPr="00782D7B">
        <w:rPr>
          <w:rFonts w:ascii="Arial" w:hAnsi="Arial" w:cs="Arial"/>
          <w:sz w:val="24"/>
          <w:szCs w:val="24"/>
        </w:rPr>
        <w:t>.</w:t>
      </w:r>
      <w:r w:rsidR="00E3037C" w:rsidRPr="00782D7B">
        <w:rPr>
          <w:rFonts w:ascii="Arial" w:hAnsi="Arial" w:cs="Arial"/>
          <w:sz w:val="24"/>
          <w:szCs w:val="24"/>
        </w:rPr>
        <w:t xml:space="preserve"> </w:t>
      </w:r>
      <w:r w:rsidR="003B247B" w:rsidRPr="00782D7B">
        <w:rPr>
          <w:rFonts w:ascii="Arial" w:hAnsi="Arial" w:cs="Arial"/>
          <w:sz w:val="24"/>
          <w:szCs w:val="24"/>
        </w:rPr>
        <w:t xml:space="preserve">Kainate </w:t>
      </w:r>
      <w:r w:rsidR="00E3037C" w:rsidRPr="00782D7B">
        <w:rPr>
          <w:rFonts w:ascii="Arial" w:hAnsi="Arial" w:cs="Arial"/>
          <w:sz w:val="24"/>
          <w:szCs w:val="24"/>
        </w:rPr>
        <w:t xml:space="preserve">does not depolarize the muscle, but </w:t>
      </w:r>
      <w:r w:rsidR="004916A6" w:rsidRPr="00782D7B">
        <w:rPr>
          <w:rFonts w:ascii="Arial" w:hAnsi="Arial" w:cs="Arial"/>
          <w:sz w:val="24"/>
          <w:szCs w:val="24"/>
        </w:rPr>
        <w:t>dampen</w:t>
      </w:r>
      <w:r w:rsidR="00BD044F" w:rsidRPr="00782D7B">
        <w:rPr>
          <w:rFonts w:ascii="Arial" w:hAnsi="Arial" w:cs="Arial"/>
          <w:sz w:val="24"/>
          <w:szCs w:val="24"/>
        </w:rPr>
        <w:t>s</w:t>
      </w:r>
      <w:r w:rsidR="004916A6" w:rsidRPr="00782D7B">
        <w:rPr>
          <w:rFonts w:ascii="Arial" w:hAnsi="Arial" w:cs="Arial"/>
          <w:sz w:val="24"/>
          <w:szCs w:val="24"/>
        </w:rPr>
        <w:t xml:space="preserve"> </w:t>
      </w:r>
      <w:r w:rsidR="00E3037C" w:rsidRPr="00782D7B">
        <w:rPr>
          <w:rFonts w:ascii="Arial" w:hAnsi="Arial" w:cs="Arial"/>
          <w:sz w:val="24"/>
          <w:szCs w:val="24"/>
        </w:rPr>
        <w:t>evoked EPSP</w:t>
      </w:r>
      <w:r w:rsidR="004916A6" w:rsidRPr="00782D7B">
        <w:rPr>
          <w:rFonts w:ascii="Arial" w:hAnsi="Arial" w:cs="Arial"/>
          <w:sz w:val="24"/>
          <w:szCs w:val="24"/>
        </w:rPr>
        <w:t xml:space="preserve"> amplitudes</w:t>
      </w:r>
      <w:r w:rsidR="00E3037C" w:rsidRPr="00782D7B">
        <w:rPr>
          <w:rFonts w:ascii="Arial" w:hAnsi="Arial" w:cs="Arial"/>
          <w:sz w:val="24"/>
          <w:szCs w:val="24"/>
        </w:rPr>
        <w:t xml:space="preserve">. Quantal responses show a decreased amplitude and area under the voltage curve indicative of reduced postsynaptic receptor sensitivity to glutamate transmission.  ATPA, </w:t>
      </w:r>
      <w:r w:rsidR="00ED3CCB">
        <w:rPr>
          <w:rFonts w:ascii="Arial" w:hAnsi="Arial" w:cs="Arial"/>
          <w:sz w:val="24"/>
          <w:szCs w:val="24"/>
        </w:rPr>
        <w:t xml:space="preserve">a </w:t>
      </w:r>
      <w:r w:rsidR="00E3037C" w:rsidRPr="00782D7B">
        <w:rPr>
          <w:rFonts w:ascii="Arial" w:hAnsi="Arial" w:cs="Arial"/>
          <w:sz w:val="24"/>
          <w:szCs w:val="24"/>
        </w:rPr>
        <w:t xml:space="preserve">kainate receptor </w:t>
      </w:r>
      <w:r w:rsidR="00E3037C" w:rsidRPr="00D507DE">
        <w:rPr>
          <w:rFonts w:ascii="Arial" w:hAnsi="Arial" w:cs="Arial"/>
          <w:sz w:val="24"/>
          <w:szCs w:val="24"/>
        </w:rPr>
        <w:t xml:space="preserve">agonist, </w:t>
      </w:r>
      <w:r w:rsidR="00BD044F" w:rsidRPr="00D507DE">
        <w:rPr>
          <w:rFonts w:ascii="Arial" w:hAnsi="Arial" w:cs="Arial"/>
          <w:sz w:val="24"/>
          <w:szCs w:val="24"/>
        </w:rPr>
        <w:t xml:space="preserve">did not </w:t>
      </w:r>
      <w:r w:rsidR="00E3037C" w:rsidRPr="00D507DE">
        <w:rPr>
          <w:rFonts w:ascii="Arial" w:hAnsi="Arial" w:cs="Arial"/>
          <w:sz w:val="24"/>
          <w:szCs w:val="24"/>
        </w:rPr>
        <w:t>mimic kainate</w:t>
      </w:r>
      <w:r w:rsidR="00BD044F" w:rsidRPr="00D507DE">
        <w:rPr>
          <w:rFonts w:ascii="Arial" w:hAnsi="Arial" w:cs="Arial"/>
          <w:sz w:val="24"/>
          <w:szCs w:val="24"/>
        </w:rPr>
        <w:t>’s</w:t>
      </w:r>
      <w:r w:rsidR="00E3037C" w:rsidRPr="00D507DE">
        <w:rPr>
          <w:rFonts w:ascii="Arial" w:hAnsi="Arial" w:cs="Arial"/>
          <w:sz w:val="24"/>
          <w:szCs w:val="24"/>
        </w:rPr>
        <w:t xml:space="preserve"> action</w:t>
      </w:r>
      <w:r w:rsidR="003B247B" w:rsidRPr="00D507DE">
        <w:rPr>
          <w:rFonts w:ascii="Arial" w:hAnsi="Arial" w:cs="Arial"/>
          <w:sz w:val="24"/>
          <w:szCs w:val="24"/>
        </w:rPr>
        <w:t>.</w:t>
      </w:r>
      <w:r w:rsidR="00E3037C" w:rsidRPr="00D507DE">
        <w:rPr>
          <w:rFonts w:ascii="Arial" w:hAnsi="Arial" w:cs="Arial"/>
          <w:sz w:val="24"/>
          <w:szCs w:val="24"/>
        </w:rPr>
        <w:t xml:space="preserve"> </w:t>
      </w:r>
      <w:r w:rsidR="00D6635E" w:rsidRPr="00D507DE">
        <w:rPr>
          <w:rFonts w:ascii="Arial" w:hAnsi="Arial" w:cs="Arial"/>
          <w:sz w:val="24"/>
          <w:szCs w:val="24"/>
        </w:rPr>
        <w:t xml:space="preserve">The metabotropic </w:t>
      </w:r>
      <w:r w:rsidR="00D6635E" w:rsidRPr="00D507DE">
        <w:rPr>
          <w:rStyle w:val="Emphasis"/>
          <w:rFonts w:ascii="Arial" w:hAnsi="Arial" w:cs="Arial"/>
          <w:b w:val="0"/>
          <w:sz w:val="24"/>
          <w:szCs w:val="24"/>
        </w:rPr>
        <w:t>glutamate</w:t>
      </w:r>
      <w:r w:rsidR="00D6635E" w:rsidRPr="00D507DE">
        <w:rPr>
          <w:rFonts w:ascii="Arial" w:hAnsi="Arial" w:cs="Arial"/>
          <w:b/>
          <w:sz w:val="24"/>
          <w:szCs w:val="24"/>
        </w:rPr>
        <w:t xml:space="preserve"> </w:t>
      </w:r>
      <w:r w:rsidR="00D6635E" w:rsidRPr="00D507DE">
        <w:rPr>
          <w:rFonts w:ascii="Arial" w:hAnsi="Arial" w:cs="Arial"/>
          <w:sz w:val="24"/>
          <w:szCs w:val="24"/>
        </w:rPr>
        <w:t xml:space="preserve">receptor agonist </w:t>
      </w:r>
      <w:r w:rsidR="00D6635E" w:rsidRPr="00D507DE">
        <w:rPr>
          <w:rStyle w:val="Emphasis"/>
          <w:rFonts w:ascii="Arial" w:hAnsi="Arial" w:cs="Arial"/>
          <w:b w:val="0"/>
          <w:sz w:val="24"/>
          <w:szCs w:val="24"/>
        </w:rPr>
        <w:t>t</w:t>
      </w:r>
      <w:r w:rsidR="00D6635E" w:rsidRPr="00D507DE">
        <w:rPr>
          <w:rFonts w:ascii="Arial" w:hAnsi="Arial" w:cs="Arial"/>
          <w:b/>
          <w:sz w:val="24"/>
          <w:szCs w:val="24"/>
        </w:rPr>
        <w:t>-</w:t>
      </w:r>
      <w:r w:rsidR="00D6635E" w:rsidRPr="00D507DE">
        <w:rPr>
          <w:rStyle w:val="Emphasis"/>
          <w:rFonts w:ascii="Arial" w:hAnsi="Arial" w:cs="Arial"/>
          <w:b w:val="0"/>
          <w:sz w:val="24"/>
          <w:szCs w:val="24"/>
        </w:rPr>
        <w:t>ACPD</w:t>
      </w:r>
      <w:r w:rsidR="00D6635E" w:rsidRPr="00D507DE">
        <w:rPr>
          <w:rFonts w:ascii="Arial" w:hAnsi="Arial" w:cs="Arial"/>
          <w:b/>
          <w:sz w:val="24"/>
          <w:szCs w:val="24"/>
        </w:rPr>
        <w:t xml:space="preserve"> </w:t>
      </w:r>
      <w:r w:rsidR="004916A6" w:rsidRPr="00D507DE">
        <w:rPr>
          <w:rFonts w:ascii="Arial" w:hAnsi="Arial" w:cs="Arial"/>
          <w:sz w:val="24"/>
          <w:szCs w:val="24"/>
        </w:rPr>
        <w:t>had</w:t>
      </w:r>
      <w:r w:rsidR="00D6635E" w:rsidRPr="00D507DE">
        <w:rPr>
          <w:rFonts w:ascii="Arial" w:hAnsi="Arial" w:cs="Arial"/>
          <w:sz w:val="24"/>
          <w:szCs w:val="24"/>
        </w:rPr>
        <w:t xml:space="preserve"> no effect</w:t>
      </w:r>
      <w:r w:rsidR="004916A6" w:rsidRPr="00D507DE">
        <w:rPr>
          <w:rFonts w:ascii="Arial" w:hAnsi="Arial" w:cs="Arial"/>
          <w:sz w:val="24"/>
          <w:szCs w:val="24"/>
        </w:rPr>
        <w:t>.</w:t>
      </w:r>
      <w:r w:rsidR="00D6635E" w:rsidRPr="00D507DE">
        <w:rPr>
          <w:rFonts w:ascii="Arial" w:hAnsi="Arial" w:cs="Arial"/>
          <w:sz w:val="24"/>
          <w:szCs w:val="24"/>
        </w:rPr>
        <w:t xml:space="preserve"> </w:t>
      </w:r>
      <w:r w:rsidR="00E3037C" w:rsidRPr="00D507DE">
        <w:rPr>
          <w:rFonts w:ascii="Arial" w:hAnsi="Arial" w:cs="Arial"/>
          <w:sz w:val="24"/>
          <w:szCs w:val="24"/>
        </w:rPr>
        <w:t xml:space="preserve">Domoic acid, a </w:t>
      </w:r>
      <w:r w:rsidR="008E4C48" w:rsidRPr="00D507DE">
        <w:rPr>
          <w:rFonts w:ascii="Arial" w:hAnsi="Arial" w:cs="Arial"/>
          <w:sz w:val="24"/>
          <w:szCs w:val="24"/>
        </w:rPr>
        <w:t>kainate/AMPA</w:t>
      </w:r>
      <w:r w:rsidR="00E3037C" w:rsidRPr="00D507DE">
        <w:rPr>
          <w:rFonts w:ascii="Arial" w:hAnsi="Arial" w:cs="Arial"/>
          <w:sz w:val="24"/>
          <w:szCs w:val="24"/>
        </w:rPr>
        <w:t xml:space="preserve"> receptor agonist, blocks the postsynaptic receptors without depolarizing the muscle</w:t>
      </w:r>
      <w:r w:rsidR="00D507DE" w:rsidRPr="00D507DE">
        <w:rPr>
          <w:rFonts w:ascii="Arial" w:hAnsi="Arial" w:cs="Arial"/>
          <w:sz w:val="24"/>
          <w:szCs w:val="24"/>
        </w:rPr>
        <w:t xml:space="preserve">. However, </w:t>
      </w:r>
      <w:r w:rsidR="00D507DE" w:rsidRPr="00D507DE">
        <w:rPr>
          <w:rFonts w:ascii="Arial" w:hAnsi="Arial" w:cs="Arial"/>
          <w:bCs/>
          <w:kern w:val="36"/>
          <w:sz w:val="24"/>
          <w:szCs w:val="24"/>
        </w:rPr>
        <w:t>SYM 2081, a</w:t>
      </w:r>
      <w:r w:rsidR="00D507DE" w:rsidRPr="00D507DE">
        <w:rPr>
          <w:rFonts w:ascii="Arial" w:hAnsi="Arial" w:cs="Arial"/>
          <w:sz w:val="24"/>
          <w:szCs w:val="24"/>
        </w:rPr>
        <w:t xml:space="preserve"> kainate receptor agonist,</w:t>
      </w:r>
      <w:r w:rsidR="00D507DE" w:rsidRPr="00D507DE">
        <w:rPr>
          <w:rFonts w:ascii="Arial" w:hAnsi="Arial" w:cs="Arial"/>
          <w:bCs/>
          <w:kern w:val="36"/>
          <w:sz w:val="24"/>
          <w:szCs w:val="24"/>
        </w:rPr>
        <w:t xml:space="preserve"> did </w:t>
      </w:r>
      <w:r w:rsidR="00B97718" w:rsidRPr="00D507DE">
        <w:rPr>
          <w:rFonts w:ascii="Arial" w:hAnsi="Arial" w:cs="Arial"/>
          <w:bCs/>
          <w:kern w:val="36"/>
          <w:sz w:val="24"/>
          <w:szCs w:val="24"/>
        </w:rPr>
        <w:t>depol</w:t>
      </w:r>
      <w:r w:rsidR="00B97718">
        <w:rPr>
          <w:rFonts w:ascii="Arial" w:hAnsi="Arial" w:cs="Arial"/>
          <w:bCs/>
          <w:kern w:val="36"/>
          <w:sz w:val="24"/>
          <w:szCs w:val="24"/>
        </w:rPr>
        <w:t>ar</w:t>
      </w:r>
      <w:r w:rsidR="00B97718" w:rsidRPr="00D507DE">
        <w:rPr>
          <w:rFonts w:ascii="Arial" w:hAnsi="Arial" w:cs="Arial"/>
          <w:bCs/>
          <w:kern w:val="36"/>
          <w:sz w:val="24"/>
          <w:szCs w:val="24"/>
        </w:rPr>
        <w:t>ize</w:t>
      </w:r>
      <w:r w:rsidR="00D507DE" w:rsidRPr="00D507DE">
        <w:rPr>
          <w:rFonts w:ascii="Arial" w:hAnsi="Arial" w:cs="Arial"/>
          <w:bCs/>
          <w:kern w:val="36"/>
          <w:sz w:val="24"/>
          <w:szCs w:val="24"/>
        </w:rPr>
        <w:t xml:space="preserve"> the muscle and reduce the EPSP amplitude</w:t>
      </w:r>
      <w:r w:rsidR="00B97718">
        <w:rPr>
          <w:rFonts w:ascii="Arial" w:hAnsi="Arial" w:cs="Arial"/>
          <w:bCs/>
          <w:kern w:val="36"/>
          <w:sz w:val="24"/>
          <w:szCs w:val="24"/>
        </w:rPr>
        <w:t xml:space="preserve"> at</w:t>
      </w:r>
      <w:r w:rsidR="00D507DE" w:rsidRPr="00D507DE">
        <w:rPr>
          <w:rFonts w:ascii="Arial" w:hAnsi="Arial" w:cs="Arial"/>
          <w:bCs/>
          <w:kern w:val="36"/>
          <w:sz w:val="24"/>
          <w:szCs w:val="24"/>
        </w:rPr>
        <w:t xml:space="preserve"> 1mM </w:t>
      </w:r>
      <w:r w:rsidR="00B97718">
        <w:rPr>
          <w:rFonts w:ascii="Arial" w:hAnsi="Arial" w:cs="Arial"/>
          <w:bCs/>
          <w:kern w:val="36"/>
          <w:sz w:val="24"/>
          <w:szCs w:val="24"/>
        </w:rPr>
        <w:t>but not at</w:t>
      </w:r>
      <w:r w:rsidR="00D507DE" w:rsidRPr="00D507DE">
        <w:rPr>
          <w:rFonts w:ascii="Arial" w:hAnsi="Arial" w:cs="Arial"/>
          <w:bCs/>
          <w:kern w:val="36"/>
          <w:sz w:val="24"/>
          <w:szCs w:val="24"/>
        </w:rPr>
        <w:t xml:space="preserve"> 0.1mM.</w:t>
      </w:r>
      <w:r w:rsidR="00E3037C" w:rsidRPr="00D507DE">
        <w:rPr>
          <w:rFonts w:ascii="Arial" w:hAnsi="Arial" w:cs="Arial"/>
          <w:sz w:val="24"/>
          <w:szCs w:val="24"/>
        </w:rPr>
        <w:t xml:space="preserve"> </w:t>
      </w:r>
      <w:r w:rsidR="00D507DE" w:rsidRPr="00D507DE">
        <w:rPr>
          <w:rFonts w:ascii="Arial" w:hAnsi="Arial" w:cs="Arial"/>
          <w:sz w:val="24"/>
          <w:szCs w:val="24"/>
        </w:rPr>
        <w:t>This</w:t>
      </w:r>
      <w:r w:rsidR="00E3037C" w:rsidRPr="00D507DE">
        <w:rPr>
          <w:rFonts w:ascii="Arial" w:hAnsi="Arial" w:cs="Arial"/>
          <w:sz w:val="24"/>
          <w:szCs w:val="24"/>
        </w:rPr>
        <w:t xml:space="preserve"> supports</w:t>
      </w:r>
      <w:r w:rsidR="004916A6" w:rsidRPr="00D507DE">
        <w:rPr>
          <w:rFonts w:ascii="Arial" w:hAnsi="Arial" w:cs="Arial"/>
          <w:sz w:val="24"/>
          <w:szCs w:val="24"/>
        </w:rPr>
        <w:t xml:space="preserve"> the </w:t>
      </w:r>
      <w:r w:rsidR="00D507DE" w:rsidRPr="00D507DE">
        <w:rPr>
          <w:rFonts w:ascii="Arial" w:hAnsi="Arial" w:cs="Arial"/>
          <w:sz w:val="24"/>
          <w:szCs w:val="24"/>
        </w:rPr>
        <w:t xml:space="preserve">notion that these are generally a </w:t>
      </w:r>
      <w:r w:rsidR="00E3037C" w:rsidRPr="00D507DE">
        <w:rPr>
          <w:rFonts w:ascii="Arial" w:hAnsi="Arial" w:cs="Arial"/>
          <w:sz w:val="24"/>
          <w:szCs w:val="24"/>
        </w:rPr>
        <w:t>quisqualate subtype receptors</w:t>
      </w:r>
      <w:r w:rsidR="00D507DE" w:rsidRPr="00D507DE">
        <w:rPr>
          <w:rFonts w:ascii="Arial" w:hAnsi="Arial" w:cs="Arial"/>
          <w:sz w:val="24"/>
          <w:szCs w:val="24"/>
        </w:rPr>
        <w:t xml:space="preserve"> with some oddities in the pharmacological profile</w:t>
      </w:r>
      <w:r w:rsidR="00E3037C" w:rsidRPr="00D507DE">
        <w:rPr>
          <w:rFonts w:ascii="Arial" w:hAnsi="Arial" w:cs="Arial"/>
          <w:sz w:val="24"/>
          <w:szCs w:val="24"/>
        </w:rPr>
        <w:t xml:space="preserve">. The results suggest </w:t>
      </w:r>
      <w:r w:rsidR="003B247B" w:rsidRPr="00D507DE">
        <w:rPr>
          <w:rFonts w:ascii="Arial" w:hAnsi="Arial" w:cs="Arial"/>
          <w:sz w:val="24"/>
          <w:szCs w:val="24"/>
        </w:rPr>
        <w:t xml:space="preserve">a direct postsynaptic action of kainate due to partial antagonist action on the quisqualate receptors. </w:t>
      </w:r>
      <w:r w:rsidR="004916A6" w:rsidRPr="00D507DE">
        <w:rPr>
          <w:rFonts w:ascii="Arial" w:hAnsi="Arial" w:cs="Arial"/>
          <w:sz w:val="24"/>
          <w:szCs w:val="24"/>
        </w:rPr>
        <w:t xml:space="preserve">There does not appear to be </w:t>
      </w:r>
      <w:r w:rsidR="00D6635E" w:rsidRPr="00D507DE">
        <w:rPr>
          <w:rFonts w:ascii="Arial" w:hAnsi="Arial" w:cs="Arial"/>
          <w:sz w:val="24"/>
          <w:szCs w:val="24"/>
        </w:rPr>
        <w:t xml:space="preserve">presynaptic auto-regulation via a kainate receptor subtype or a </w:t>
      </w:r>
      <w:r w:rsidR="00182BED" w:rsidRPr="00D507DE">
        <w:rPr>
          <w:rFonts w:ascii="Arial" w:hAnsi="Arial" w:cs="Arial"/>
          <w:sz w:val="24"/>
          <w:szCs w:val="24"/>
        </w:rPr>
        <w:t>metabotropic</w:t>
      </w:r>
      <w:r w:rsidR="00D6635E" w:rsidRPr="00D507DE">
        <w:rPr>
          <w:rFonts w:ascii="Arial" w:hAnsi="Arial" w:cs="Arial"/>
          <w:sz w:val="24"/>
          <w:szCs w:val="24"/>
        </w:rPr>
        <w:t xml:space="preserve"> auto-receptor.</w:t>
      </w:r>
      <w:r w:rsidR="0008319B" w:rsidRPr="00D507DE">
        <w:rPr>
          <w:rFonts w:ascii="Arial" w:hAnsi="Arial" w:cs="Arial"/>
          <w:sz w:val="24"/>
          <w:szCs w:val="24"/>
        </w:rPr>
        <w:t xml:space="preserve"> </w:t>
      </w:r>
      <w:r w:rsidR="00B97718">
        <w:rPr>
          <w:rFonts w:ascii="Arial" w:hAnsi="Arial" w:cs="Arial"/>
          <w:sz w:val="24"/>
          <w:szCs w:val="24"/>
        </w:rPr>
        <w:t>T</w:t>
      </w:r>
      <w:r w:rsidR="0008319B" w:rsidRPr="00D507DE">
        <w:rPr>
          <w:rFonts w:ascii="Arial" w:hAnsi="Arial" w:cs="Arial"/>
          <w:sz w:val="24"/>
          <w:szCs w:val="24"/>
        </w:rPr>
        <w:t xml:space="preserve">his study aids in furthering the pharmokinetic </w:t>
      </w:r>
      <w:r w:rsidR="00F27AA1">
        <w:rPr>
          <w:rFonts w:ascii="Arial" w:hAnsi="Arial" w:cs="Arial"/>
          <w:sz w:val="24"/>
          <w:szCs w:val="24"/>
        </w:rPr>
        <w:t>profiling</w:t>
      </w:r>
      <w:r w:rsidR="004916A6" w:rsidRPr="00D507DE">
        <w:rPr>
          <w:rFonts w:ascii="Arial" w:hAnsi="Arial" w:cs="Arial"/>
          <w:sz w:val="24"/>
          <w:szCs w:val="24"/>
        </w:rPr>
        <w:t xml:space="preserve"> </w:t>
      </w:r>
      <w:r w:rsidR="0008319B" w:rsidRPr="00D507DE">
        <w:rPr>
          <w:rFonts w:ascii="Arial" w:hAnsi="Arial" w:cs="Arial"/>
          <w:sz w:val="24"/>
          <w:szCs w:val="24"/>
        </w:rPr>
        <w:t>and specificity of the receptor subtypes</w:t>
      </w:r>
      <w:r w:rsidR="004916A6" w:rsidRPr="00D507DE">
        <w:rPr>
          <w:rFonts w:ascii="Arial" w:hAnsi="Arial" w:cs="Arial"/>
          <w:sz w:val="24"/>
          <w:szCs w:val="24"/>
        </w:rPr>
        <w:t>.</w:t>
      </w:r>
      <w:r w:rsidR="00F27AA1" w:rsidRPr="00F27AA1">
        <w:rPr>
          <w:rFonts w:ascii="ArialMT" w:hAnsi="ArialMT" w:cs="ArialMT"/>
          <w:sz w:val="24"/>
        </w:rPr>
        <w:t xml:space="preserve"> </w:t>
      </w:r>
    </w:p>
    <w:p w:rsidR="00B97718" w:rsidRDefault="0008319B" w:rsidP="00BB5C73">
      <w:pPr>
        <w:spacing w:line="480" w:lineRule="auto"/>
        <w:jc w:val="both"/>
        <w:rPr>
          <w:rFonts w:ascii="Arial" w:hAnsi="Arial" w:cs="Arial"/>
          <w:sz w:val="24"/>
          <w:szCs w:val="24"/>
        </w:rPr>
      </w:pPr>
      <w:r w:rsidRPr="00782D7B">
        <w:rPr>
          <w:rFonts w:ascii="Arial" w:hAnsi="Arial" w:cs="Arial"/>
          <w:sz w:val="24"/>
          <w:szCs w:val="24"/>
        </w:rPr>
        <w:t>{</w:t>
      </w:r>
      <w:r w:rsidR="00ED3CCB">
        <w:rPr>
          <w:rFonts w:ascii="Arial" w:hAnsi="Arial" w:cs="Arial"/>
          <w:sz w:val="24"/>
          <w:szCs w:val="24"/>
        </w:rPr>
        <w:t>197</w:t>
      </w:r>
      <w:r w:rsidRPr="00782D7B">
        <w:rPr>
          <w:rFonts w:ascii="Arial" w:hAnsi="Arial" w:cs="Arial"/>
          <w:sz w:val="24"/>
          <w:szCs w:val="24"/>
        </w:rPr>
        <w:t xml:space="preserve"> words}</w:t>
      </w:r>
    </w:p>
    <w:p w:rsidR="007360BD" w:rsidRPr="00BB5C73" w:rsidRDefault="00BB5C73" w:rsidP="00BB5C73">
      <w:pPr>
        <w:spacing w:line="480" w:lineRule="auto"/>
        <w:jc w:val="both"/>
        <w:rPr>
          <w:rFonts w:ascii="Arial" w:hAnsi="Arial" w:cs="Arial"/>
          <w:sz w:val="24"/>
          <w:szCs w:val="24"/>
        </w:rPr>
      </w:pPr>
      <w:r>
        <w:rPr>
          <w:rFonts w:ascii="Arial" w:hAnsi="Arial" w:cs="Arial"/>
          <w:sz w:val="24"/>
          <w:szCs w:val="24"/>
        </w:rPr>
        <w:t xml:space="preserve"> </w:t>
      </w:r>
      <w:r w:rsidR="00B06942" w:rsidRPr="00782D7B">
        <w:rPr>
          <w:rFonts w:ascii="Arial" w:hAnsi="Arial" w:cs="Arial"/>
          <w:b/>
          <w:sz w:val="24"/>
          <w:szCs w:val="24"/>
        </w:rPr>
        <w:t>Key words:</w:t>
      </w:r>
      <w:r w:rsidR="00B06942" w:rsidRPr="00782D7B">
        <w:rPr>
          <w:rFonts w:ascii="Arial" w:hAnsi="Arial" w:cs="Arial"/>
          <w:sz w:val="24"/>
          <w:szCs w:val="24"/>
        </w:rPr>
        <w:t xml:space="preserve"> insect, facilitation, synapse, quanta, invertebrate</w:t>
      </w:r>
      <w:r w:rsidR="007360BD" w:rsidRPr="00782D7B">
        <w:rPr>
          <w:rFonts w:ascii="Arial" w:hAnsi="Arial" w:cs="Arial"/>
          <w:b/>
          <w:sz w:val="24"/>
          <w:szCs w:val="24"/>
        </w:rPr>
        <w:br w:type="page"/>
      </w:r>
    </w:p>
    <w:p w:rsidR="00A636E3" w:rsidRPr="00782D7B" w:rsidRDefault="00373739" w:rsidP="008E4CBF">
      <w:pPr>
        <w:spacing w:line="480" w:lineRule="auto"/>
        <w:jc w:val="both"/>
        <w:rPr>
          <w:rFonts w:ascii="Arial" w:hAnsi="Arial" w:cs="Arial"/>
          <w:b/>
          <w:sz w:val="24"/>
          <w:szCs w:val="24"/>
        </w:rPr>
      </w:pPr>
      <w:r>
        <w:rPr>
          <w:rFonts w:ascii="Arial" w:hAnsi="Arial" w:cs="Arial"/>
          <w:b/>
          <w:sz w:val="24"/>
          <w:szCs w:val="24"/>
        </w:rPr>
        <w:lastRenderedPageBreak/>
        <w:t xml:space="preserve">1. </w:t>
      </w:r>
      <w:r w:rsidR="00A636E3" w:rsidRPr="00782D7B">
        <w:rPr>
          <w:rFonts w:ascii="Arial" w:hAnsi="Arial" w:cs="Arial"/>
          <w:b/>
          <w:sz w:val="24"/>
          <w:szCs w:val="24"/>
        </w:rPr>
        <w:t>INTRODUCTION</w:t>
      </w:r>
    </w:p>
    <w:p w:rsidR="0093509C" w:rsidRPr="00782D7B" w:rsidRDefault="0093509C" w:rsidP="006877F5">
      <w:pPr>
        <w:spacing w:line="480" w:lineRule="auto"/>
        <w:jc w:val="both"/>
        <w:rPr>
          <w:rFonts w:ascii="Arial" w:hAnsi="Arial" w:cs="Arial"/>
          <w:sz w:val="24"/>
          <w:szCs w:val="24"/>
        </w:rPr>
      </w:pPr>
      <w:r w:rsidRPr="00782D7B">
        <w:rPr>
          <w:rFonts w:ascii="Arial" w:hAnsi="Arial" w:cs="Arial"/>
          <w:sz w:val="24"/>
          <w:szCs w:val="24"/>
        </w:rPr>
        <w:t xml:space="preserve">       </w:t>
      </w:r>
      <w:r w:rsidR="004838D6" w:rsidRPr="00782D7B">
        <w:rPr>
          <w:rFonts w:ascii="Arial" w:hAnsi="Arial" w:cs="Arial"/>
          <w:sz w:val="24"/>
          <w:szCs w:val="24"/>
        </w:rPr>
        <w:tab/>
      </w:r>
      <w:r w:rsidR="007A5C2A" w:rsidRPr="00782D7B">
        <w:rPr>
          <w:rFonts w:ascii="Arial" w:hAnsi="Arial" w:cs="Arial"/>
          <w:sz w:val="24"/>
          <w:szCs w:val="24"/>
        </w:rPr>
        <w:t xml:space="preserve">The function and pharmacology of glutamate receptors in general are of prime interest since they are the major excitatory receptor type used within the mammalian </w:t>
      </w:r>
      <w:r w:rsidR="00EB7236" w:rsidRPr="00782D7B">
        <w:rPr>
          <w:rFonts w:ascii="Arial" w:hAnsi="Arial" w:cs="Arial"/>
          <w:sz w:val="24"/>
          <w:szCs w:val="24"/>
        </w:rPr>
        <w:t>central nervous system (</w:t>
      </w:r>
      <w:r w:rsidR="007A5C2A" w:rsidRPr="00782D7B">
        <w:rPr>
          <w:rFonts w:ascii="Arial" w:hAnsi="Arial" w:cs="Arial"/>
          <w:sz w:val="24"/>
          <w:szCs w:val="24"/>
        </w:rPr>
        <w:t>CNS</w:t>
      </w:r>
      <w:r w:rsidR="00EB7236" w:rsidRPr="00782D7B">
        <w:rPr>
          <w:rFonts w:ascii="Arial" w:hAnsi="Arial" w:cs="Arial"/>
          <w:sz w:val="24"/>
          <w:szCs w:val="24"/>
        </w:rPr>
        <w:t>)</w:t>
      </w:r>
      <w:r w:rsidR="007A5C2A" w:rsidRPr="00782D7B">
        <w:rPr>
          <w:rFonts w:ascii="Arial" w:hAnsi="Arial" w:cs="Arial"/>
          <w:sz w:val="24"/>
          <w:szCs w:val="24"/>
        </w:rPr>
        <w:t xml:space="preserve">. </w:t>
      </w:r>
      <w:r w:rsidR="006877F5" w:rsidRPr="006877F5">
        <w:rPr>
          <w:rFonts w:ascii="Arial" w:hAnsi="Arial" w:cs="Arial"/>
          <w:sz w:val="24"/>
          <w:szCs w:val="24"/>
        </w:rPr>
        <w:t>In mammalian preparations, there are extensive</w:t>
      </w:r>
      <w:r w:rsidR="006877F5">
        <w:rPr>
          <w:rFonts w:ascii="Arial" w:hAnsi="Arial" w:cs="Arial"/>
          <w:sz w:val="24"/>
          <w:szCs w:val="24"/>
        </w:rPr>
        <w:t xml:space="preserve"> </w:t>
      </w:r>
      <w:r w:rsidR="006877F5" w:rsidRPr="006877F5">
        <w:rPr>
          <w:rFonts w:ascii="Arial" w:hAnsi="Arial" w:cs="Arial"/>
          <w:sz w:val="24"/>
          <w:szCs w:val="24"/>
        </w:rPr>
        <w:t>investigations into the pharmacology, physiology, molecular structure and</w:t>
      </w:r>
      <w:r w:rsidR="006877F5">
        <w:rPr>
          <w:rFonts w:ascii="Arial" w:hAnsi="Arial" w:cs="Arial"/>
          <w:sz w:val="24"/>
          <w:szCs w:val="24"/>
        </w:rPr>
        <w:t xml:space="preserve"> </w:t>
      </w:r>
      <w:r w:rsidR="006877F5" w:rsidRPr="006877F5">
        <w:rPr>
          <w:rFonts w:ascii="Arial" w:hAnsi="Arial" w:cs="Arial"/>
          <w:sz w:val="24"/>
          <w:szCs w:val="24"/>
        </w:rPr>
        <w:t>regulation of expression as wel</w:t>
      </w:r>
      <w:r w:rsidR="006877F5">
        <w:rPr>
          <w:rFonts w:ascii="Arial" w:hAnsi="Arial" w:cs="Arial"/>
          <w:sz w:val="24"/>
          <w:szCs w:val="24"/>
        </w:rPr>
        <w:t>l as turnover of glutamate receptors</w:t>
      </w:r>
      <w:r w:rsidR="006877F5" w:rsidRPr="006877F5">
        <w:rPr>
          <w:rFonts w:ascii="Arial" w:hAnsi="Arial" w:cs="Arial"/>
          <w:sz w:val="24"/>
          <w:szCs w:val="24"/>
        </w:rPr>
        <w:t xml:space="preserve"> </w:t>
      </w:r>
      <w:r w:rsidR="006F4B1D" w:rsidRPr="00782D7B">
        <w:rPr>
          <w:rFonts w:ascii="Arial" w:hAnsi="Arial" w:cs="Arial"/>
          <w:sz w:val="24"/>
          <w:szCs w:val="24"/>
        </w:rPr>
        <w:t xml:space="preserve">(Dingledine et al., 1999; Hollmann and Hainemann, 1994;  </w:t>
      </w:r>
      <w:r w:rsidR="007709A0" w:rsidRPr="00782D7B">
        <w:rPr>
          <w:rFonts w:ascii="Arial" w:hAnsi="Arial" w:cs="Arial"/>
          <w:sz w:val="24"/>
          <w:szCs w:val="24"/>
        </w:rPr>
        <w:t xml:space="preserve">Lipsky and Goldman, 2003; </w:t>
      </w:r>
      <w:r w:rsidR="002A182B" w:rsidRPr="00782D7B">
        <w:rPr>
          <w:rFonts w:ascii="Arial" w:hAnsi="Arial" w:cs="Arial"/>
          <w:sz w:val="24"/>
          <w:szCs w:val="24"/>
        </w:rPr>
        <w:t xml:space="preserve">Mayer, 2005; </w:t>
      </w:r>
      <w:r w:rsidR="006F4B1D" w:rsidRPr="00782D7B">
        <w:rPr>
          <w:rFonts w:ascii="Arial" w:hAnsi="Arial" w:cs="Arial"/>
          <w:sz w:val="24"/>
          <w:szCs w:val="24"/>
        </w:rPr>
        <w:t xml:space="preserve">Pauly et al., 2005; </w:t>
      </w:r>
      <w:r w:rsidR="006B5EA8" w:rsidRPr="00782D7B">
        <w:rPr>
          <w:rFonts w:ascii="Arial" w:hAnsi="Arial" w:cs="Arial"/>
          <w:sz w:val="24"/>
          <w:szCs w:val="24"/>
        </w:rPr>
        <w:t xml:space="preserve">Seeburg, 1993; </w:t>
      </w:r>
      <w:r w:rsidR="006F4B1D" w:rsidRPr="00782D7B">
        <w:rPr>
          <w:rFonts w:ascii="Arial" w:hAnsi="Arial" w:cs="Arial"/>
          <w:sz w:val="24"/>
          <w:szCs w:val="24"/>
        </w:rPr>
        <w:t>Thiagarajan et al., 2005)</w:t>
      </w:r>
      <w:r w:rsidR="007A5C2A" w:rsidRPr="00782D7B">
        <w:rPr>
          <w:rFonts w:ascii="Arial" w:hAnsi="Arial" w:cs="Arial"/>
          <w:sz w:val="24"/>
          <w:szCs w:val="24"/>
        </w:rPr>
        <w:t xml:space="preserve">. Earlier studies on glutamate receptors at the neuromuscular junction of insects and crustaceans paved the way to dissecting the functional aspects </w:t>
      </w:r>
      <w:r w:rsidR="00E73944" w:rsidRPr="00782D7B">
        <w:rPr>
          <w:rFonts w:ascii="Arial" w:hAnsi="Arial" w:cs="Arial"/>
          <w:sz w:val="24"/>
          <w:szCs w:val="24"/>
        </w:rPr>
        <w:t xml:space="preserve">of these receptors </w:t>
      </w:r>
      <w:r w:rsidR="007A5C2A" w:rsidRPr="00782D7B">
        <w:rPr>
          <w:rFonts w:ascii="Arial" w:hAnsi="Arial" w:cs="Arial"/>
          <w:sz w:val="24"/>
          <w:szCs w:val="24"/>
        </w:rPr>
        <w:t>within vertebrates</w:t>
      </w:r>
      <w:r w:rsidR="00407D92" w:rsidRPr="00782D7B">
        <w:rPr>
          <w:rFonts w:ascii="Arial" w:hAnsi="Arial" w:cs="Arial"/>
          <w:sz w:val="24"/>
          <w:szCs w:val="24"/>
        </w:rPr>
        <w:t xml:space="preserve"> </w:t>
      </w:r>
      <w:r w:rsidR="006F4B1D" w:rsidRPr="00782D7B">
        <w:rPr>
          <w:rFonts w:ascii="Arial" w:hAnsi="Arial" w:cs="Arial"/>
          <w:sz w:val="24"/>
          <w:szCs w:val="24"/>
        </w:rPr>
        <w:t>(</w:t>
      </w:r>
      <w:r w:rsidR="002A182B" w:rsidRPr="00782D7B">
        <w:rPr>
          <w:rFonts w:ascii="Arial" w:hAnsi="Arial" w:cs="Arial"/>
          <w:sz w:val="24"/>
          <w:szCs w:val="24"/>
        </w:rPr>
        <w:t xml:space="preserve">Anderson </w:t>
      </w:r>
      <w:r w:rsidR="002A182B" w:rsidRPr="00782D7B">
        <w:rPr>
          <w:rFonts w:ascii="Arial" w:hAnsi="Arial" w:cs="Arial"/>
          <w:iCs/>
          <w:sz w:val="24"/>
          <w:szCs w:val="24"/>
        </w:rPr>
        <w:t>et al</w:t>
      </w:r>
      <w:r w:rsidR="002A182B" w:rsidRPr="00782D7B">
        <w:rPr>
          <w:rFonts w:ascii="Arial" w:hAnsi="Arial" w:cs="Arial"/>
          <w:sz w:val="24"/>
          <w:szCs w:val="24"/>
        </w:rPr>
        <w:t xml:space="preserve">. 1976; Cull-Candy </w:t>
      </w:r>
      <w:r w:rsidR="00324861" w:rsidRPr="00782D7B">
        <w:rPr>
          <w:rFonts w:ascii="Arial" w:hAnsi="Arial" w:cs="Arial"/>
          <w:sz w:val="24"/>
          <w:szCs w:val="24"/>
        </w:rPr>
        <w:t>and</w:t>
      </w:r>
      <w:r w:rsidR="002A182B" w:rsidRPr="00782D7B">
        <w:rPr>
          <w:rFonts w:ascii="Arial" w:hAnsi="Arial" w:cs="Arial"/>
          <w:sz w:val="24"/>
          <w:szCs w:val="24"/>
        </w:rPr>
        <w:t xml:space="preserve"> Parker, 1983; Gration </w:t>
      </w:r>
      <w:r w:rsidR="002A182B" w:rsidRPr="00782D7B">
        <w:rPr>
          <w:rFonts w:ascii="Arial" w:hAnsi="Arial" w:cs="Arial"/>
          <w:iCs/>
          <w:sz w:val="24"/>
          <w:szCs w:val="24"/>
        </w:rPr>
        <w:t>et al</w:t>
      </w:r>
      <w:r w:rsidR="002A182B" w:rsidRPr="00782D7B">
        <w:rPr>
          <w:rFonts w:ascii="Arial" w:hAnsi="Arial" w:cs="Arial"/>
          <w:sz w:val="24"/>
          <w:szCs w:val="24"/>
        </w:rPr>
        <w:t xml:space="preserve">., 1981; </w:t>
      </w:r>
      <w:r w:rsidR="006F4B1D" w:rsidRPr="00782D7B">
        <w:rPr>
          <w:rFonts w:ascii="Arial" w:hAnsi="Arial" w:cs="Arial"/>
          <w:sz w:val="24"/>
          <w:szCs w:val="24"/>
        </w:rPr>
        <w:t xml:space="preserve">Jan </w:t>
      </w:r>
      <w:r w:rsidR="00324861" w:rsidRPr="00782D7B">
        <w:rPr>
          <w:rFonts w:ascii="Arial" w:hAnsi="Arial" w:cs="Arial"/>
          <w:sz w:val="24"/>
          <w:szCs w:val="24"/>
        </w:rPr>
        <w:t>and</w:t>
      </w:r>
      <w:r w:rsidR="006F4B1D" w:rsidRPr="00782D7B">
        <w:rPr>
          <w:rFonts w:ascii="Arial" w:hAnsi="Arial" w:cs="Arial"/>
          <w:sz w:val="24"/>
          <w:szCs w:val="24"/>
        </w:rPr>
        <w:t xml:space="preserve"> Jan, 1976; </w:t>
      </w:r>
      <w:r w:rsidR="002A182B" w:rsidRPr="00782D7B">
        <w:rPr>
          <w:rFonts w:ascii="Arial" w:hAnsi="Arial" w:cs="Arial"/>
          <w:sz w:val="24"/>
          <w:szCs w:val="24"/>
        </w:rPr>
        <w:t xml:space="preserve">Patlak </w:t>
      </w:r>
      <w:r w:rsidR="002A182B" w:rsidRPr="00782D7B">
        <w:rPr>
          <w:rFonts w:ascii="Arial" w:hAnsi="Arial" w:cs="Arial"/>
          <w:iCs/>
          <w:sz w:val="24"/>
          <w:szCs w:val="24"/>
        </w:rPr>
        <w:t>et al</w:t>
      </w:r>
      <w:r w:rsidR="002A182B" w:rsidRPr="00782D7B">
        <w:rPr>
          <w:rFonts w:ascii="Arial" w:hAnsi="Arial" w:cs="Arial"/>
          <w:sz w:val="24"/>
          <w:szCs w:val="24"/>
        </w:rPr>
        <w:t xml:space="preserve">., 1979; </w:t>
      </w:r>
      <w:r w:rsidR="006F4B1D" w:rsidRPr="00782D7B">
        <w:rPr>
          <w:rFonts w:ascii="Arial" w:hAnsi="Arial" w:cs="Arial"/>
          <w:sz w:val="24"/>
          <w:szCs w:val="24"/>
        </w:rPr>
        <w:t xml:space="preserve">Shinozaki </w:t>
      </w:r>
      <w:r w:rsidR="00324861" w:rsidRPr="00782D7B">
        <w:rPr>
          <w:rFonts w:ascii="Arial" w:hAnsi="Arial" w:cs="Arial"/>
          <w:sz w:val="24"/>
          <w:szCs w:val="24"/>
        </w:rPr>
        <w:t>and</w:t>
      </w:r>
      <w:r w:rsidR="006F4B1D" w:rsidRPr="00782D7B">
        <w:rPr>
          <w:rFonts w:ascii="Arial" w:hAnsi="Arial" w:cs="Arial"/>
          <w:sz w:val="24"/>
          <w:szCs w:val="24"/>
        </w:rPr>
        <w:t xml:space="preserve"> Ishida, 1981; </w:t>
      </w:r>
      <w:r w:rsidR="002A182B" w:rsidRPr="00782D7B">
        <w:rPr>
          <w:rFonts w:ascii="Arial" w:hAnsi="Arial" w:cs="Arial"/>
          <w:sz w:val="24"/>
          <w:szCs w:val="24"/>
        </w:rPr>
        <w:t xml:space="preserve">Shinozaki </w:t>
      </w:r>
      <w:r w:rsidR="00324861" w:rsidRPr="00782D7B">
        <w:rPr>
          <w:rFonts w:ascii="Arial" w:hAnsi="Arial" w:cs="Arial"/>
          <w:sz w:val="24"/>
          <w:szCs w:val="24"/>
        </w:rPr>
        <w:t>and</w:t>
      </w:r>
      <w:r w:rsidR="002A182B" w:rsidRPr="00782D7B">
        <w:rPr>
          <w:rFonts w:ascii="Arial" w:hAnsi="Arial" w:cs="Arial"/>
          <w:sz w:val="24"/>
          <w:szCs w:val="24"/>
        </w:rPr>
        <w:t xml:space="preserve"> Shibuya, 1974</w:t>
      </w:r>
      <w:r w:rsidR="006F4B1D" w:rsidRPr="00782D7B">
        <w:rPr>
          <w:rFonts w:ascii="Arial" w:hAnsi="Arial" w:cs="Arial"/>
          <w:sz w:val="24"/>
          <w:szCs w:val="24"/>
        </w:rPr>
        <w:t xml:space="preserve">). </w:t>
      </w:r>
      <w:r w:rsidR="007A5C2A" w:rsidRPr="00782D7B">
        <w:rPr>
          <w:rFonts w:ascii="Arial" w:hAnsi="Arial" w:cs="Arial"/>
          <w:sz w:val="24"/>
          <w:szCs w:val="24"/>
        </w:rPr>
        <w:t xml:space="preserve"> Still today, invertebrate models serve a vital role in </w:t>
      </w:r>
      <w:r w:rsidR="006877F5" w:rsidRPr="003A7CCB">
        <w:rPr>
          <w:rFonts w:ascii="ArialMT" w:hAnsi="ArialMT" w:cs="ArialMT"/>
          <w:sz w:val="24"/>
        </w:rPr>
        <w:t>describing the regulation</w:t>
      </w:r>
      <w:r w:rsidR="006877F5" w:rsidRPr="00782D7B">
        <w:rPr>
          <w:rFonts w:ascii="Arial" w:hAnsi="Arial" w:cs="Arial"/>
          <w:sz w:val="24"/>
          <w:szCs w:val="24"/>
        </w:rPr>
        <w:t xml:space="preserve"> </w:t>
      </w:r>
      <w:r w:rsidR="007A5C2A" w:rsidRPr="00782D7B">
        <w:rPr>
          <w:rFonts w:ascii="Arial" w:hAnsi="Arial" w:cs="Arial"/>
          <w:sz w:val="24"/>
          <w:szCs w:val="24"/>
        </w:rPr>
        <w:t>and developmental aspects of glutamate receptor function</w:t>
      </w:r>
      <w:r w:rsidR="006F4B1D" w:rsidRPr="00782D7B">
        <w:rPr>
          <w:rFonts w:ascii="Arial" w:hAnsi="Arial" w:cs="Arial"/>
          <w:sz w:val="24"/>
          <w:szCs w:val="24"/>
        </w:rPr>
        <w:t xml:space="preserve"> (Featherstone et al., 2005; Guerrero et al., 2005; </w:t>
      </w:r>
      <w:r w:rsidR="002A182B" w:rsidRPr="00782D7B">
        <w:rPr>
          <w:rFonts w:ascii="Arial" w:hAnsi="Arial" w:cs="Arial"/>
          <w:sz w:val="24"/>
          <w:szCs w:val="24"/>
        </w:rPr>
        <w:t xml:space="preserve">Littleton </w:t>
      </w:r>
      <w:r w:rsidR="00324861" w:rsidRPr="00782D7B">
        <w:rPr>
          <w:rFonts w:ascii="Arial" w:hAnsi="Arial" w:cs="Arial"/>
          <w:sz w:val="24"/>
          <w:szCs w:val="24"/>
        </w:rPr>
        <w:t>and</w:t>
      </w:r>
      <w:r w:rsidR="002A182B" w:rsidRPr="00782D7B">
        <w:rPr>
          <w:rFonts w:ascii="Arial" w:hAnsi="Arial" w:cs="Arial"/>
          <w:sz w:val="24"/>
          <w:szCs w:val="24"/>
        </w:rPr>
        <w:t xml:space="preserve"> Ganetzky, 2000; Logsdon et al., 2006; </w:t>
      </w:r>
      <w:r w:rsidR="006F4B1D" w:rsidRPr="00782D7B">
        <w:rPr>
          <w:rFonts w:ascii="Arial" w:hAnsi="Arial" w:cs="Arial"/>
          <w:sz w:val="24"/>
          <w:szCs w:val="24"/>
        </w:rPr>
        <w:t>Pawlu et al., 2004;</w:t>
      </w:r>
      <w:r w:rsidR="002A182B" w:rsidRPr="00782D7B">
        <w:rPr>
          <w:rFonts w:ascii="Arial" w:hAnsi="Arial" w:cs="Arial"/>
          <w:sz w:val="24"/>
          <w:szCs w:val="24"/>
        </w:rPr>
        <w:t xml:space="preserve"> Rasse et al., 2005</w:t>
      </w:r>
      <w:r w:rsidR="006F4B1D" w:rsidRPr="00782D7B">
        <w:rPr>
          <w:rFonts w:ascii="Arial" w:hAnsi="Arial" w:cs="Arial"/>
          <w:sz w:val="24"/>
          <w:szCs w:val="24"/>
        </w:rPr>
        <w:t>).</w:t>
      </w:r>
      <w:r w:rsidR="007A5C2A" w:rsidRPr="00782D7B">
        <w:rPr>
          <w:rFonts w:ascii="Arial" w:hAnsi="Arial" w:cs="Arial"/>
          <w:sz w:val="24"/>
          <w:szCs w:val="24"/>
        </w:rPr>
        <w:t xml:space="preserve"> Considering that </w:t>
      </w:r>
      <w:r w:rsidR="007A5C2A" w:rsidRPr="00782D7B">
        <w:rPr>
          <w:rFonts w:ascii="Arial" w:hAnsi="Arial" w:cs="Arial"/>
          <w:i/>
          <w:sz w:val="24"/>
          <w:szCs w:val="24"/>
        </w:rPr>
        <w:t>Drosophila melanogaster</w:t>
      </w:r>
      <w:r w:rsidR="007A5C2A" w:rsidRPr="00782D7B">
        <w:rPr>
          <w:rFonts w:ascii="Arial" w:hAnsi="Arial" w:cs="Arial"/>
          <w:sz w:val="24"/>
          <w:szCs w:val="24"/>
        </w:rPr>
        <w:t xml:space="preserve"> is a true model organism with a known genome and used for successful rapid induction of mutations in various studies of development and synaptic mechanisms</w:t>
      </w:r>
      <w:r w:rsidR="006814C0" w:rsidRPr="00782D7B">
        <w:rPr>
          <w:rFonts w:ascii="Arial" w:hAnsi="Arial" w:cs="Arial"/>
          <w:sz w:val="24"/>
          <w:szCs w:val="24"/>
        </w:rPr>
        <w:t>,</w:t>
      </w:r>
      <w:r w:rsidR="007A5C2A" w:rsidRPr="00782D7B">
        <w:rPr>
          <w:rFonts w:ascii="Arial" w:hAnsi="Arial" w:cs="Arial"/>
          <w:sz w:val="24"/>
          <w:szCs w:val="24"/>
        </w:rPr>
        <w:t xml:space="preserve"> it is important to understand the pharmacological and physiological function within this model synaptic neuromuscular preparation</w:t>
      </w:r>
      <w:r w:rsidR="00407D92" w:rsidRPr="00782D7B">
        <w:rPr>
          <w:rFonts w:ascii="Arial" w:hAnsi="Arial" w:cs="Arial"/>
          <w:sz w:val="24"/>
          <w:szCs w:val="24"/>
        </w:rPr>
        <w:t xml:space="preserve"> </w:t>
      </w:r>
      <w:r w:rsidR="006F4B1D" w:rsidRPr="00782D7B">
        <w:rPr>
          <w:rFonts w:ascii="Arial" w:hAnsi="Arial" w:cs="Arial"/>
          <w:sz w:val="24"/>
          <w:szCs w:val="24"/>
        </w:rPr>
        <w:t xml:space="preserve">(Atwood et al., 1993; </w:t>
      </w:r>
      <w:r w:rsidR="002A182B" w:rsidRPr="00782D7B">
        <w:rPr>
          <w:rFonts w:ascii="Arial" w:hAnsi="Arial" w:cs="Arial"/>
          <w:sz w:val="24"/>
          <w:szCs w:val="24"/>
        </w:rPr>
        <w:t xml:space="preserve">Betz et al. 1993; </w:t>
      </w:r>
      <w:r w:rsidR="006F4B1D" w:rsidRPr="00782D7B">
        <w:rPr>
          <w:rFonts w:ascii="Arial" w:hAnsi="Arial" w:cs="Arial"/>
          <w:sz w:val="24"/>
          <w:szCs w:val="24"/>
        </w:rPr>
        <w:t xml:space="preserve">Jan and Jan 1976; </w:t>
      </w:r>
      <w:r w:rsidR="006B5EA8" w:rsidRPr="00782D7B">
        <w:rPr>
          <w:rFonts w:ascii="Arial" w:hAnsi="Arial" w:cs="Arial"/>
          <w:sz w:val="24"/>
          <w:szCs w:val="24"/>
        </w:rPr>
        <w:t xml:space="preserve">Kurdyak et al., 1994; </w:t>
      </w:r>
      <w:r w:rsidR="002A182B" w:rsidRPr="00782D7B">
        <w:rPr>
          <w:rFonts w:ascii="Arial" w:hAnsi="Arial" w:cs="Arial"/>
          <w:sz w:val="24"/>
          <w:szCs w:val="24"/>
        </w:rPr>
        <w:t xml:space="preserve">Li et al., 2002;  Li and Cooper, 2001; Pawlu et al., 2004; Ruffner  et al., 1999; Sigrist et al., 2002, 2003; </w:t>
      </w:r>
      <w:r w:rsidR="006F4B1D" w:rsidRPr="00782D7B">
        <w:rPr>
          <w:rFonts w:ascii="Arial" w:hAnsi="Arial" w:cs="Arial"/>
          <w:sz w:val="24"/>
          <w:szCs w:val="24"/>
        </w:rPr>
        <w:t xml:space="preserve">Stewart et al., 1994, 1996).  </w:t>
      </w:r>
    </w:p>
    <w:p w:rsidR="00407D92" w:rsidRPr="00782D7B" w:rsidRDefault="0093509C" w:rsidP="008E4CBF">
      <w:pPr>
        <w:spacing w:after="0" w:line="480" w:lineRule="auto"/>
        <w:jc w:val="both"/>
        <w:rPr>
          <w:rFonts w:ascii="Arial" w:hAnsi="Arial" w:cs="Arial"/>
          <w:sz w:val="24"/>
          <w:szCs w:val="24"/>
        </w:rPr>
      </w:pPr>
      <w:r w:rsidRPr="00782D7B">
        <w:rPr>
          <w:rFonts w:ascii="Arial" w:hAnsi="Arial" w:cs="Arial"/>
          <w:sz w:val="24"/>
          <w:szCs w:val="24"/>
        </w:rPr>
        <w:lastRenderedPageBreak/>
        <w:t xml:space="preserve">       </w:t>
      </w:r>
      <w:r w:rsidR="000B77E2" w:rsidRPr="00782D7B">
        <w:rPr>
          <w:rFonts w:ascii="Arial" w:hAnsi="Arial" w:cs="Arial"/>
          <w:sz w:val="24"/>
          <w:szCs w:val="24"/>
        </w:rPr>
        <w:t xml:space="preserve">The molecular sequence of the glutamate receptors on </w:t>
      </w:r>
      <w:r w:rsidR="00407D92" w:rsidRPr="00782D7B">
        <w:rPr>
          <w:rFonts w:ascii="Arial" w:hAnsi="Arial" w:cs="Arial"/>
          <w:sz w:val="24"/>
          <w:szCs w:val="24"/>
        </w:rPr>
        <w:t xml:space="preserve">the </w:t>
      </w:r>
      <w:r w:rsidR="00407D92" w:rsidRPr="00782D7B">
        <w:rPr>
          <w:rFonts w:ascii="Arial" w:hAnsi="Arial" w:cs="Arial"/>
          <w:i/>
          <w:sz w:val="24"/>
          <w:szCs w:val="24"/>
        </w:rPr>
        <w:t>Drosophila</w:t>
      </w:r>
      <w:r w:rsidR="00407D92" w:rsidRPr="00782D7B">
        <w:rPr>
          <w:rFonts w:ascii="Arial" w:hAnsi="Arial" w:cs="Arial"/>
          <w:sz w:val="24"/>
          <w:szCs w:val="24"/>
        </w:rPr>
        <w:t xml:space="preserve"> </w:t>
      </w:r>
      <w:r w:rsidR="00E73944" w:rsidRPr="00782D7B">
        <w:rPr>
          <w:rFonts w:ascii="Arial" w:hAnsi="Arial" w:cs="Arial"/>
          <w:sz w:val="24"/>
          <w:szCs w:val="24"/>
        </w:rPr>
        <w:t xml:space="preserve">skeletal </w:t>
      </w:r>
      <w:r w:rsidR="000B77E2" w:rsidRPr="00782D7B">
        <w:rPr>
          <w:rFonts w:ascii="Arial" w:hAnsi="Arial" w:cs="Arial"/>
          <w:sz w:val="24"/>
          <w:szCs w:val="24"/>
        </w:rPr>
        <w:t xml:space="preserve">muscle has been described; however, to date there are few detailed investigations on the pharmacological profile of the intact larval </w:t>
      </w:r>
      <w:r w:rsidR="000B77E2" w:rsidRPr="00782D7B">
        <w:rPr>
          <w:rFonts w:ascii="Arial" w:hAnsi="Arial" w:cs="Arial"/>
          <w:i/>
          <w:sz w:val="24"/>
          <w:szCs w:val="24"/>
        </w:rPr>
        <w:t>Drosophila</w:t>
      </w:r>
      <w:r w:rsidR="000B77E2" w:rsidRPr="00782D7B">
        <w:rPr>
          <w:rFonts w:ascii="Arial" w:hAnsi="Arial" w:cs="Arial"/>
          <w:sz w:val="24"/>
          <w:szCs w:val="24"/>
        </w:rPr>
        <w:t xml:space="preserve"> NMJ</w:t>
      </w:r>
      <w:r w:rsidR="006F4B1D" w:rsidRPr="00782D7B">
        <w:rPr>
          <w:rFonts w:ascii="Arial" w:hAnsi="Arial" w:cs="Arial"/>
          <w:sz w:val="24"/>
          <w:szCs w:val="24"/>
        </w:rPr>
        <w:t xml:space="preserve"> (Chang </w:t>
      </w:r>
      <w:r w:rsidR="00324861" w:rsidRPr="00782D7B">
        <w:rPr>
          <w:rFonts w:ascii="Arial" w:hAnsi="Arial" w:cs="Arial"/>
          <w:sz w:val="24"/>
          <w:szCs w:val="24"/>
        </w:rPr>
        <w:t>and</w:t>
      </w:r>
      <w:r w:rsidR="006F4B1D" w:rsidRPr="00782D7B">
        <w:rPr>
          <w:rFonts w:ascii="Arial" w:hAnsi="Arial" w:cs="Arial"/>
          <w:sz w:val="24"/>
          <w:szCs w:val="24"/>
        </w:rPr>
        <w:t xml:space="preserve"> Kidokoro, 1996;</w:t>
      </w:r>
      <w:r w:rsidR="00324861" w:rsidRPr="00782D7B">
        <w:rPr>
          <w:rFonts w:ascii="Arial" w:hAnsi="Arial" w:cs="Arial"/>
          <w:sz w:val="24"/>
          <w:szCs w:val="24"/>
        </w:rPr>
        <w:t xml:space="preserve"> Chang </w:t>
      </w:r>
      <w:r w:rsidR="00324861" w:rsidRPr="00782D7B">
        <w:rPr>
          <w:rFonts w:ascii="Arial" w:hAnsi="Arial" w:cs="Arial"/>
          <w:iCs/>
          <w:sz w:val="24"/>
          <w:szCs w:val="24"/>
        </w:rPr>
        <w:t>et al</w:t>
      </w:r>
      <w:r w:rsidR="00324861" w:rsidRPr="00782D7B">
        <w:rPr>
          <w:rFonts w:ascii="Arial" w:hAnsi="Arial" w:cs="Arial"/>
          <w:sz w:val="24"/>
          <w:szCs w:val="24"/>
        </w:rPr>
        <w:t>., 1994;</w:t>
      </w:r>
      <w:r w:rsidR="006F4B1D" w:rsidRPr="00782D7B">
        <w:rPr>
          <w:rFonts w:ascii="Arial" w:hAnsi="Arial" w:cs="Arial"/>
          <w:sz w:val="24"/>
          <w:szCs w:val="24"/>
        </w:rPr>
        <w:t xml:space="preserve"> Delgado et al., 1989; Schuster </w:t>
      </w:r>
      <w:r w:rsidR="006F4B1D" w:rsidRPr="00782D7B">
        <w:rPr>
          <w:rFonts w:ascii="Arial" w:hAnsi="Arial" w:cs="Arial"/>
          <w:iCs/>
          <w:sz w:val="24"/>
          <w:szCs w:val="24"/>
        </w:rPr>
        <w:t>et al</w:t>
      </w:r>
      <w:r w:rsidR="006F4B1D" w:rsidRPr="00782D7B">
        <w:rPr>
          <w:rFonts w:ascii="Arial" w:hAnsi="Arial" w:cs="Arial"/>
          <w:sz w:val="24"/>
          <w:szCs w:val="24"/>
        </w:rPr>
        <w:t xml:space="preserve">., 1991; Zhang </w:t>
      </w:r>
      <w:r w:rsidR="006F4B1D" w:rsidRPr="00782D7B">
        <w:rPr>
          <w:rFonts w:ascii="Arial" w:hAnsi="Arial" w:cs="Arial"/>
          <w:iCs/>
          <w:sz w:val="24"/>
          <w:szCs w:val="24"/>
        </w:rPr>
        <w:t>et al</w:t>
      </w:r>
      <w:r w:rsidR="00324861" w:rsidRPr="00782D7B">
        <w:rPr>
          <w:rFonts w:ascii="Arial" w:hAnsi="Arial" w:cs="Arial"/>
          <w:sz w:val="24"/>
          <w:szCs w:val="24"/>
        </w:rPr>
        <w:t>., 1999</w:t>
      </w:r>
      <w:r w:rsidR="006F4B1D" w:rsidRPr="00782D7B">
        <w:rPr>
          <w:rFonts w:ascii="Arial" w:hAnsi="Arial" w:cs="Arial"/>
          <w:sz w:val="24"/>
          <w:szCs w:val="24"/>
        </w:rPr>
        <w:t>)</w:t>
      </w:r>
      <w:r w:rsidR="000B77E2" w:rsidRPr="00782D7B">
        <w:rPr>
          <w:rFonts w:ascii="Arial" w:hAnsi="Arial" w:cs="Arial"/>
          <w:sz w:val="24"/>
          <w:szCs w:val="24"/>
        </w:rPr>
        <w:t xml:space="preserve">. </w:t>
      </w:r>
      <w:r w:rsidRPr="00782D7B">
        <w:rPr>
          <w:rFonts w:ascii="Arial" w:hAnsi="Arial" w:cs="Arial"/>
          <w:sz w:val="24"/>
          <w:szCs w:val="24"/>
        </w:rPr>
        <w:t>G</w:t>
      </w:r>
      <w:r w:rsidR="000B77E2" w:rsidRPr="00782D7B">
        <w:rPr>
          <w:rFonts w:ascii="Arial" w:hAnsi="Arial" w:cs="Arial"/>
          <w:sz w:val="24"/>
          <w:szCs w:val="24"/>
        </w:rPr>
        <w:t>lutamate receptors are defined as NMDA (N-methyl-D-aspartic acid) and non-NMDA subtypes (i.e. AMPA, kainate and δ) based on their pharmacological sensitivity.</w:t>
      </w:r>
      <w:r w:rsidR="001814DA" w:rsidRPr="00782D7B">
        <w:rPr>
          <w:rFonts w:ascii="Arial" w:hAnsi="Arial" w:cs="Arial"/>
          <w:sz w:val="24"/>
          <w:szCs w:val="24"/>
        </w:rPr>
        <w:t xml:space="preserve"> </w:t>
      </w:r>
      <w:r w:rsidR="00407D92" w:rsidRPr="00782D7B">
        <w:rPr>
          <w:rFonts w:ascii="Arial" w:hAnsi="Arial" w:cs="Arial"/>
          <w:sz w:val="24"/>
          <w:szCs w:val="24"/>
        </w:rPr>
        <w:t>The</w:t>
      </w:r>
      <w:r w:rsidR="0085699C" w:rsidRPr="00782D7B">
        <w:rPr>
          <w:rFonts w:ascii="Arial" w:hAnsi="Arial" w:cs="Arial"/>
          <w:sz w:val="24"/>
          <w:szCs w:val="24"/>
        </w:rPr>
        <w:t xml:space="preserve"> </w:t>
      </w:r>
      <w:r w:rsidR="00407D92" w:rsidRPr="00782D7B">
        <w:rPr>
          <w:rFonts w:ascii="Arial" w:hAnsi="Arial" w:cs="Arial"/>
          <w:sz w:val="24"/>
          <w:szCs w:val="24"/>
        </w:rPr>
        <w:t xml:space="preserve">molecular </w:t>
      </w:r>
      <w:r w:rsidR="008E4CBF" w:rsidRPr="00782D7B">
        <w:rPr>
          <w:rFonts w:ascii="Arial" w:hAnsi="Arial" w:cs="Arial"/>
          <w:sz w:val="24"/>
          <w:szCs w:val="24"/>
        </w:rPr>
        <w:t xml:space="preserve">sequences of the glutamate receptors for </w:t>
      </w:r>
      <w:r w:rsidR="008E4CBF" w:rsidRPr="00782D7B">
        <w:rPr>
          <w:rFonts w:ascii="Arial" w:hAnsi="Arial" w:cs="Arial"/>
          <w:i/>
          <w:sz w:val="24"/>
          <w:szCs w:val="24"/>
        </w:rPr>
        <w:t>Drosophila</w:t>
      </w:r>
      <w:r w:rsidR="008E4CBF" w:rsidRPr="00782D7B">
        <w:rPr>
          <w:rFonts w:ascii="Arial" w:hAnsi="Arial" w:cs="Arial"/>
          <w:sz w:val="24"/>
          <w:szCs w:val="24"/>
        </w:rPr>
        <w:t xml:space="preserve"> NMJs were</w:t>
      </w:r>
      <w:r w:rsidR="0085699C" w:rsidRPr="00782D7B">
        <w:rPr>
          <w:rFonts w:ascii="Arial" w:hAnsi="Arial" w:cs="Arial"/>
          <w:sz w:val="24"/>
          <w:szCs w:val="24"/>
        </w:rPr>
        <w:t xml:space="preserve"> performed </w:t>
      </w:r>
      <w:r w:rsidR="00407D92" w:rsidRPr="00782D7B">
        <w:rPr>
          <w:rFonts w:ascii="Arial" w:hAnsi="Arial" w:cs="Arial"/>
          <w:sz w:val="24"/>
          <w:szCs w:val="24"/>
        </w:rPr>
        <w:t>on the body wall muscle</w:t>
      </w:r>
      <w:r w:rsidR="00976A3E" w:rsidRPr="00782D7B">
        <w:rPr>
          <w:rFonts w:ascii="Arial" w:hAnsi="Arial" w:cs="Arial"/>
          <w:sz w:val="24"/>
          <w:szCs w:val="24"/>
        </w:rPr>
        <w:t>s</w:t>
      </w:r>
      <w:r w:rsidR="00407D92" w:rsidRPr="00782D7B">
        <w:rPr>
          <w:rFonts w:ascii="Arial" w:hAnsi="Arial" w:cs="Arial"/>
          <w:sz w:val="24"/>
          <w:szCs w:val="24"/>
        </w:rPr>
        <w:t xml:space="preserve"> in larva</w:t>
      </w:r>
      <w:r w:rsidR="0085699C" w:rsidRPr="00782D7B">
        <w:rPr>
          <w:rFonts w:ascii="Arial" w:hAnsi="Arial" w:cs="Arial"/>
          <w:sz w:val="24"/>
          <w:szCs w:val="24"/>
        </w:rPr>
        <w:t>e</w:t>
      </w:r>
      <w:r w:rsidR="00407D92" w:rsidRPr="00782D7B">
        <w:rPr>
          <w:rFonts w:ascii="Arial" w:hAnsi="Arial" w:cs="Arial"/>
          <w:sz w:val="24"/>
          <w:szCs w:val="24"/>
        </w:rPr>
        <w:t xml:space="preserve"> by isolating the skeletal muscle and the body wall (skeletal muscles attach to</w:t>
      </w:r>
      <w:r w:rsidR="0013273C" w:rsidRPr="00782D7B">
        <w:rPr>
          <w:rFonts w:ascii="Arial" w:hAnsi="Arial" w:cs="Arial"/>
          <w:sz w:val="24"/>
          <w:szCs w:val="24"/>
        </w:rPr>
        <w:t xml:space="preserve"> the cuticle body wall</w:t>
      </w:r>
      <w:r w:rsidR="00407D92" w:rsidRPr="00782D7B">
        <w:rPr>
          <w:rFonts w:ascii="Arial" w:hAnsi="Arial" w:cs="Arial"/>
          <w:sz w:val="24"/>
          <w:szCs w:val="24"/>
        </w:rPr>
        <w:t>)</w:t>
      </w:r>
      <w:r w:rsidR="006877F5">
        <w:rPr>
          <w:rFonts w:ascii="Arial" w:hAnsi="Arial" w:cs="Arial"/>
          <w:sz w:val="24"/>
          <w:szCs w:val="24"/>
        </w:rPr>
        <w:t xml:space="preserve"> </w:t>
      </w:r>
      <w:r w:rsidR="006877F5" w:rsidRPr="00C71AFE">
        <w:rPr>
          <w:rFonts w:ascii="Arial" w:hAnsi="Arial" w:cs="Arial"/>
          <w:sz w:val="24"/>
          <w:szCs w:val="24"/>
        </w:rPr>
        <w:t>(</w:t>
      </w:r>
      <w:r w:rsidR="006877F5" w:rsidRPr="00C71AFE">
        <w:rPr>
          <w:rFonts w:ascii="Arial" w:hAnsi="Arial" w:cs="Arial"/>
          <w:sz w:val="24"/>
        </w:rPr>
        <w:t>Qin et al., 2005)</w:t>
      </w:r>
      <w:r w:rsidR="004C2A0A" w:rsidRPr="00C71AFE">
        <w:rPr>
          <w:rFonts w:ascii="Arial" w:hAnsi="Arial" w:cs="Arial"/>
          <w:sz w:val="24"/>
          <w:szCs w:val="24"/>
        </w:rPr>
        <w:t xml:space="preserve">. </w:t>
      </w:r>
      <w:r w:rsidR="0013273C" w:rsidRPr="00C71AFE">
        <w:rPr>
          <w:rFonts w:ascii="Arial" w:hAnsi="Arial" w:cs="Arial"/>
          <w:sz w:val="24"/>
          <w:szCs w:val="24"/>
        </w:rPr>
        <w:t xml:space="preserve">  The total</w:t>
      </w:r>
      <w:r w:rsidR="0013273C" w:rsidRPr="00782D7B">
        <w:rPr>
          <w:rFonts w:ascii="Arial" w:hAnsi="Arial" w:cs="Arial"/>
          <w:sz w:val="24"/>
          <w:szCs w:val="24"/>
        </w:rPr>
        <w:t xml:space="preserve"> m</w:t>
      </w:r>
      <w:r w:rsidR="0013273C" w:rsidRPr="00782D7B">
        <w:rPr>
          <w:rFonts w:ascii="Arial" w:eastAsia="Times New Roman" w:hAnsi="Arial" w:cs="Arial"/>
          <w:sz w:val="24"/>
          <w:szCs w:val="24"/>
          <w:lang w:eastAsia="en-US"/>
        </w:rPr>
        <w:t>RNA was extracted</w:t>
      </w:r>
      <w:r w:rsidR="00EB7236" w:rsidRPr="00782D7B">
        <w:rPr>
          <w:rFonts w:ascii="Arial" w:eastAsia="Times New Roman" w:hAnsi="Arial" w:cs="Arial"/>
          <w:sz w:val="24"/>
          <w:szCs w:val="24"/>
          <w:lang w:eastAsia="en-US"/>
        </w:rPr>
        <w:t xml:space="preserve"> from this </w:t>
      </w:r>
      <w:r w:rsidR="00FC6DE7" w:rsidRPr="00782D7B">
        <w:rPr>
          <w:rFonts w:ascii="Arial" w:eastAsia="Times New Roman" w:hAnsi="Arial" w:cs="Arial"/>
          <w:sz w:val="24"/>
          <w:szCs w:val="24"/>
          <w:lang w:eastAsia="en-US"/>
        </w:rPr>
        <w:t xml:space="preserve">muscle </w:t>
      </w:r>
      <w:r w:rsidR="006814C0" w:rsidRPr="00782D7B">
        <w:rPr>
          <w:rFonts w:ascii="Arial" w:eastAsia="Times New Roman" w:hAnsi="Arial" w:cs="Arial"/>
          <w:sz w:val="24"/>
          <w:szCs w:val="24"/>
          <w:lang w:eastAsia="en-US"/>
        </w:rPr>
        <w:t>tissue</w:t>
      </w:r>
      <w:r w:rsidR="0013273C" w:rsidRPr="00782D7B">
        <w:rPr>
          <w:rFonts w:ascii="Arial" w:eastAsia="Times New Roman" w:hAnsi="Arial" w:cs="Arial"/>
          <w:sz w:val="24"/>
          <w:szCs w:val="24"/>
          <w:lang w:eastAsia="en-US"/>
        </w:rPr>
        <w:t xml:space="preserve"> and probed against an "affymetrix </w:t>
      </w:r>
      <w:r w:rsidR="0013273C" w:rsidRPr="00782D7B">
        <w:rPr>
          <w:rFonts w:ascii="Arial" w:eastAsia="Times New Roman" w:hAnsi="Arial" w:cs="Arial"/>
          <w:i/>
          <w:sz w:val="24"/>
          <w:szCs w:val="24"/>
          <w:lang w:eastAsia="en-US"/>
        </w:rPr>
        <w:t>Drosophila</w:t>
      </w:r>
      <w:r w:rsidR="0013273C" w:rsidRPr="00782D7B">
        <w:rPr>
          <w:rFonts w:ascii="Arial" w:eastAsia="Times New Roman" w:hAnsi="Arial" w:cs="Arial"/>
          <w:sz w:val="24"/>
          <w:szCs w:val="24"/>
          <w:lang w:eastAsia="en-US"/>
        </w:rPr>
        <w:t xml:space="preserve"> genechip". A number of </w:t>
      </w:r>
      <w:r w:rsidR="0013273C" w:rsidRPr="00782D7B">
        <w:rPr>
          <w:rFonts w:ascii="Arial" w:eastAsia="Times New Roman" w:hAnsi="Arial" w:cs="Arial"/>
          <w:i/>
          <w:sz w:val="24"/>
          <w:szCs w:val="24"/>
          <w:lang w:eastAsia="en-US"/>
        </w:rPr>
        <w:t>Drosophila</w:t>
      </w:r>
      <w:r w:rsidR="0013273C" w:rsidRPr="00782D7B">
        <w:rPr>
          <w:rFonts w:ascii="Arial" w:eastAsia="Times New Roman" w:hAnsi="Arial" w:cs="Arial"/>
          <w:sz w:val="24"/>
          <w:szCs w:val="24"/>
          <w:lang w:eastAsia="en-US"/>
        </w:rPr>
        <w:t xml:space="preserve"> glutamate receptor subunits were found to be present. The sequences isolated were identified by comparison to whole larval DNA known sequences for glutamate receptors. The</w:t>
      </w:r>
      <w:r w:rsidR="0085699C" w:rsidRPr="00782D7B">
        <w:rPr>
          <w:rFonts w:ascii="Arial" w:eastAsia="Times New Roman" w:hAnsi="Arial" w:cs="Arial"/>
          <w:sz w:val="24"/>
          <w:szCs w:val="24"/>
          <w:lang w:eastAsia="en-US"/>
        </w:rPr>
        <w:t xml:space="preserve"> </w:t>
      </w:r>
      <w:r w:rsidR="00976A3E" w:rsidRPr="00782D7B">
        <w:rPr>
          <w:rFonts w:ascii="Arial" w:eastAsia="Times New Roman" w:hAnsi="Arial" w:cs="Arial"/>
          <w:sz w:val="24"/>
          <w:szCs w:val="24"/>
          <w:lang w:eastAsia="en-US"/>
        </w:rPr>
        <w:t xml:space="preserve">ones identified </w:t>
      </w:r>
      <w:r w:rsidR="0013273C" w:rsidRPr="00782D7B">
        <w:rPr>
          <w:rFonts w:ascii="Arial" w:eastAsia="Times New Roman" w:hAnsi="Arial" w:cs="Arial"/>
          <w:sz w:val="24"/>
          <w:szCs w:val="24"/>
          <w:lang w:eastAsia="en-US"/>
        </w:rPr>
        <w:t xml:space="preserve">are GluRIIA, GluRIIB, GluRIIC and GluRIID.  GluRIIE </w:t>
      </w:r>
      <w:r w:rsidR="00976A3E" w:rsidRPr="00782D7B">
        <w:rPr>
          <w:rFonts w:ascii="Arial" w:eastAsia="Times New Roman" w:hAnsi="Arial" w:cs="Arial"/>
          <w:sz w:val="24"/>
          <w:szCs w:val="24"/>
          <w:lang w:eastAsia="en-US"/>
        </w:rPr>
        <w:t>was later isolated when r</w:t>
      </w:r>
      <w:r w:rsidR="00976A3E" w:rsidRPr="00782D7B">
        <w:rPr>
          <w:rFonts w:ascii="Arial" w:hAnsi="Arial" w:cs="Arial"/>
          <w:sz w:val="24"/>
          <w:szCs w:val="24"/>
        </w:rPr>
        <w:t xml:space="preserve">eal-time PCR  was used to follow up </w:t>
      </w:r>
      <w:r w:rsidR="00FC6DE7" w:rsidRPr="00782D7B">
        <w:rPr>
          <w:rFonts w:ascii="Arial" w:hAnsi="Arial" w:cs="Arial"/>
          <w:sz w:val="24"/>
          <w:szCs w:val="24"/>
        </w:rPr>
        <w:t xml:space="preserve">on the </w:t>
      </w:r>
      <w:r w:rsidR="00976A3E" w:rsidRPr="00782D7B">
        <w:rPr>
          <w:rFonts w:ascii="Arial" w:hAnsi="Arial" w:cs="Arial"/>
          <w:sz w:val="24"/>
          <w:szCs w:val="24"/>
        </w:rPr>
        <w:t>amplif</w:t>
      </w:r>
      <w:r w:rsidR="00FC6DE7" w:rsidRPr="00782D7B">
        <w:rPr>
          <w:rFonts w:ascii="Arial" w:hAnsi="Arial" w:cs="Arial"/>
          <w:sz w:val="24"/>
          <w:szCs w:val="24"/>
        </w:rPr>
        <w:t>ied</w:t>
      </w:r>
      <w:r w:rsidR="00976A3E" w:rsidRPr="00782D7B">
        <w:rPr>
          <w:rFonts w:ascii="Arial" w:hAnsi="Arial" w:cs="Arial"/>
          <w:sz w:val="24"/>
          <w:szCs w:val="24"/>
        </w:rPr>
        <w:t xml:space="preserve"> mRNA </w:t>
      </w:r>
      <w:r w:rsidR="00FC6DE7" w:rsidRPr="00782D7B">
        <w:rPr>
          <w:rFonts w:ascii="Arial" w:hAnsi="Arial" w:cs="Arial"/>
          <w:sz w:val="24"/>
          <w:szCs w:val="24"/>
        </w:rPr>
        <w:t>of the</w:t>
      </w:r>
      <w:r w:rsidR="00976A3E" w:rsidRPr="00782D7B">
        <w:rPr>
          <w:rFonts w:ascii="Arial" w:hAnsi="Arial" w:cs="Arial"/>
          <w:sz w:val="24"/>
          <w:szCs w:val="24"/>
        </w:rPr>
        <w:t xml:space="preserve"> four receptor subtypes </w:t>
      </w:r>
      <w:r w:rsidR="006814C0" w:rsidRPr="00782D7B">
        <w:rPr>
          <w:rFonts w:ascii="Arial" w:hAnsi="Arial" w:cs="Arial"/>
          <w:sz w:val="24"/>
          <w:szCs w:val="24"/>
        </w:rPr>
        <w:t>in</w:t>
      </w:r>
      <w:r w:rsidR="00976A3E" w:rsidRPr="00782D7B">
        <w:rPr>
          <w:rFonts w:ascii="Arial" w:hAnsi="Arial" w:cs="Arial"/>
          <w:sz w:val="24"/>
          <w:szCs w:val="24"/>
        </w:rPr>
        <w:t xml:space="preserve"> quantification </w:t>
      </w:r>
      <w:r w:rsidR="0085699C" w:rsidRPr="00782D7B">
        <w:rPr>
          <w:rFonts w:ascii="Arial" w:hAnsi="Arial" w:cs="Arial"/>
          <w:sz w:val="24"/>
          <w:szCs w:val="24"/>
        </w:rPr>
        <w:t xml:space="preserve">of </w:t>
      </w:r>
      <w:r w:rsidR="00976A3E" w:rsidRPr="00782D7B">
        <w:rPr>
          <w:rFonts w:ascii="Arial" w:hAnsi="Arial" w:cs="Arial"/>
          <w:sz w:val="24"/>
          <w:szCs w:val="24"/>
        </w:rPr>
        <w:t>expression</w:t>
      </w:r>
      <w:r w:rsidR="006814C0" w:rsidRPr="00782D7B">
        <w:rPr>
          <w:rFonts w:ascii="Arial" w:hAnsi="Arial" w:cs="Arial"/>
          <w:sz w:val="24"/>
          <w:szCs w:val="24"/>
        </w:rPr>
        <w:t xml:space="preserve"> levels</w:t>
      </w:r>
      <w:r w:rsidR="00976A3E" w:rsidRPr="00782D7B">
        <w:rPr>
          <w:rFonts w:ascii="Arial" w:hAnsi="Arial" w:cs="Arial"/>
          <w:sz w:val="24"/>
          <w:szCs w:val="24"/>
        </w:rPr>
        <w:t>.</w:t>
      </w:r>
      <w:r w:rsidR="00E73944" w:rsidRPr="00782D7B">
        <w:rPr>
          <w:rFonts w:ascii="Arial" w:hAnsi="Arial" w:cs="Arial"/>
          <w:sz w:val="24"/>
          <w:szCs w:val="24"/>
        </w:rPr>
        <w:t xml:space="preserve"> T</w:t>
      </w:r>
      <w:r w:rsidR="00976A3E" w:rsidRPr="00782D7B">
        <w:rPr>
          <w:rFonts w:ascii="Arial" w:hAnsi="Arial" w:cs="Arial"/>
          <w:sz w:val="24"/>
          <w:szCs w:val="24"/>
        </w:rPr>
        <w:t>he expression profile of</w:t>
      </w:r>
      <w:r w:rsidR="0013273C" w:rsidRPr="00782D7B">
        <w:rPr>
          <w:rFonts w:ascii="Arial" w:eastAsia="Times New Roman" w:hAnsi="Arial" w:cs="Arial"/>
          <w:sz w:val="24"/>
          <w:szCs w:val="24"/>
          <w:lang w:eastAsia="en-US"/>
        </w:rPr>
        <w:t xml:space="preserve"> the five glutamate receptor subunits</w:t>
      </w:r>
      <w:r w:rsidR="006814C0" w:rsidRPr="00782D7B">
        <w:rPr>
          <w:rFonts w:ascii="Arial" w:eastAsia="Times New Roman" w:hAnsi="Arial" w:cs="Arial"/>
          <w:sz w:val="24"/>
          <w:szCs w:val="24"/>
          <w:lang w:eastAsia="en-US"/>
        </w:rPr>
        <w:t xml:space="preserve"> has been conducted in</w:t>
      </w:r>
      <w:r w:rsidR="00976A3E" w:rsidRPr="00782D7B">
        <w:rPr>
          <w:rFonts w:ascii="Arial" w:eastAsia="Times New Roman" w:hAnsi="Arial" w:cs="Arial"/>
          <w:sz w:val="24"/>
          <w:szCs w:val="24"/>
          <w:lang w:eastAsia="en-US"/>
        </w:rPr>
        <w:t xml:space="preserve"> body wall mu</w:t>
      </w:r>
      <w:r w:rsidR="006814C0" w:rsidRPr="00782D7B">
        <w:rPr>
          <w:rFonts w:ascii="Arial" w:eastAsia="Times New Roman" w:hAnsi="Arial" w:cs="Arial"/>
          <w:sz w:val="24"/>
          <w:szCs w:val="24"/>
          <w:lang w:eastAsia="en-US"/>
        </w:rPr>
        <w:t>scle by in situ hybridization for</w:t>
      </w:r>
      <w:r w:rsidR="00976A3E" w:rsidRPr="00782D7B">
        <w:rPr>
          <w:rFonts w:ascii="Arial" w:eastAsia="Times New Roman" w:hAnsi="Arial" w:cs="Arial"/>
          <w:sz w:val="24"/>
          <w:szCs w:val="24"/>
          <w:lang w:eastAsia="en-US"/>
        </w:rPr>
        <w:t xml:space="preserve"> embryos and larvae</w:t>
      </w:r>
      <w:r w:rsidR="0085699C" w:rsidRPr="00782D7B">
        <w:rPr>
          <w:rFonts w:ascii="Arial" w:eastAsia="Times New Roman" w:hAnsi="Arial" w:cs="Arial"/>
          <w:sz w:val="24"/>
          <w:szCs w:val="24"/>
          <w:lang w:eastAsia="en-US"/>
        </w:rPr>
        <w:t xml:space="preserve"> (</w:t>
      </w:r>
      <w:r w:rsidR="006B5EA8" w:rsidRPr="00782D7B">
        <w:rPr>
          <w:rFonts w:ascii="Arial" w:hAnsi="Arial" w:cs="Arial"/>
          <w:sz w:val="24"/>
          <w:szCs w:val="24"/>
        </w:rPr>
        <w:t xml:space="preserve">Guerrero et al., 2005; </w:t>
      </w:r>
      <w:r w:rsidR="0085699C" w:rsidRPr="00782D7B">
        <w:rPr>
          <w:rFonts w:ascii="Arial" w:eastAsia="Times New Roman" w:hAnsi="Arial" w:cs="Arial"/>
          <w:sz w:val="24"/>
          <w:szCs w:val="24"/>
          <w:lang w:eastAsia="en-US"/>
        </w:rPr>
        <w:t>Marrus et al., 2004</w:t>
      </w:r>
      <w:r w:rsidR="0085699C" w:rsidRPr="00782D7B">
        <w:rPr>
          <w:rFonts w:ascii="Arial" w:hAnsi="Arial" w:cs="Arial"/>
          <w:sz w:val="24"/>
          <w:szCs w:val="24"/>
        </w:rPr>
        <w:t>)</w:t>
      </w:r>
      <w:r w:rsidR="00976A3E" w:rsidRPr="00782D7B">
        <w:rPr>
          <w:rFonts w:ascii="Arial" w:eastAsia="Times New Roman" w:hAnsi="Arial" w:cs="Arial"/>
          <w:sz w:val="24"/>
          <w:szCs w:val="24"/>
          <w:lang w:eastAsia="en-US"/>
        </w:rPr>
        <w:t>.</w:t>
      </w:r>
    </w:p>
    <w:p w:rsidR="000B77E2" w:rsidRPr="00782D7B" w:rsidRDefault="00976A3E" w:rsidP="006843D3">
      <w:pPr>
        <w:spacing w:line="480" w:lineRule="auto"/>
        <w:jc w:val="both"/>
        <w:rPr>
          <w:rFonts w:ascii="Arial" w:hAnsi="Arial" w:cs="Arial"/>
          <w:sz w:val="24"/>
          <w:szCs w:val="24"/>
        </w:rPr>
      </w:pPr>
      <w:r w:rsidRPr="00782D7B">
        <w:rPr>
          <w:rFonts w:ascii="Arial" w:hAnsi="Arial" w:cs="Arial"/>
          <w:sz w:val="24"/>
          <w:szCs w:val="24"/>
        </w:rPr>
        <w:tab/>
        <w:t xml:space="preserve">With the RT-PCR and the genomic profiling the sequence indicates that </w:t>
      </w:r>
      <w:r w:rsidR="00EB7236" w:rsidRPr="00782D7B">
        <w:rPr>
          <w:rFonts w:ascii="Arial" w:hAnsi="Arial" w:cs="Arial"/>
          <w:sz w:val="24"/>
          <w:szCs w:val="24"/>
        </w:rPr>
        <w:t>there are</w:t>
      </w:r>
      <w:r w:rsidR="004C2A0A" w:rsidRPr="00782D7B">
        <w:rPr>
          <w:rFonts w:ascii="Arial" w:hAnsi="Arial" w:cs="Arial"/>
          <w:sz w:val="24"/>
          <w:szCs w:val="24"/>
        </w:rPr>
        <w:t xml:space="preserve"> </w:t>
      </w:r>
      <w:r w:rsidR="0093509C" w:rsidRPr="00782D7B">
        <w:rPr>
          <w:rFonts w:ascii="Arial" w:hAnsi="Arial" w:cs="Arial"/>
          <w:sz w:val="24"/>
          <w:szCs w:val="24"/>
        </w:rPr>
        <w:t xml:space="preserve">5 glutamate receptor subunits (DGluR-IIA, DGluR-IIB, DGluR-IIC, DGluR-IID, DGluR-IIE) expressed </w:t>
      </w:r>
      <w:r w:rsidRPr="00782D7B">
        <w:rPr>
          <w:rFonts w:ascii="Arial" w:hAnsi="Arial" w:cs="Arial"/>
          <w:sz w:val="24"/>
          <w:szCs w:val="24"/>
        </w:rPr>
        <w:t>i</w:t>
      </w:r>
      <w:r w:rsidR="0093509C" w:rsidRPr="00782D7B">
        <w:rPr>
          <w:rFonts w:ascii="Arial" w:hAnsi="Arial" w:cs="Arial"/>
          <w:sz w:val="24"/>
          <w:szCs w:val="24"/>
        </w:rPr>
        <w:t xml:space="preserve">n </w:t>
      </w:r>
      <w:r w:rsidRPr="00782D7B">
        <w:rPr>
          <w:rFonts w:ascii="Arial" w:hAnsi="Arial" w:cs="Arial"/>
          <w:sz w:val="24"/>
          <w:szCs w:val="24"/>
        </w:rPr>
        <w:t xml:space="preserve">skeletal </w:t>
      </w:r>
      <w:r w:rsidR="0093509C" w:rsidRPr="00782D7B">
        <w:rPr>
          <w:rFonts w:ascii="Arial" w:hAnsi="Arial" w:cs="Arial"/>
          <w:sz w:val="24"/>
          <w:szCs w:val="24"/>
        </w:rPr>
        <w:t>muscle</w:t>
      </w:r>
      <w:r w:rsidR="004C2A0A" w:rsidRPr="00782D7B">
        <w:rPr>
          <w:rFonts w:ascii="Arial" w:hAnsi="Arial" w:cs="Arial"/>
          <w:sz w:val="24"/>
          <w:szCs w:val="24"/>
        </w:rPr>
        <w:t xml:space="preserve"> </w:t>
      </w:r>
      <w:r w:rsidR="00EB7236" w:rsidRPr="00782D7B">
        <w:rPr>
          <w:rFonts w:ascii="Arial" w:hAnsi="Arial" w:cs="Arial"/>
          <w:sz w:val="24"/>
          <w:szCs w:val="24"/>
        </w:rPr>
        <w:t>and all</w:t>
      </w:r>
      <w:r w:rsidR="004C2A0A" w:rsidRPr="00782D7B">
        <w:rPr>
          <w:rFonts w:ascii="Arial" w:hAnsi="Arial" w:cs="Arial"/>
          <w:sz w:val="24"/>
          <w:szCs w:val="24"/>
        </w:rPr>
        <w:t xml:space="preserve"> </w:t>
      </w:r>
      <w:r w:rsidR="00EB7236" w:rsidRPr="00782D7B">
        <w:rPr>
          <w:rFonts w:ascii="Arial" w:hAnsi="Arial" w:cs="Arial"/>
          <w:sz w:val="24"/>
          <w:szCs w:val="24"/>
        </w:rPr>
        <w:t>of them are</w:t>
      </w:r>
      <w:r w:rsidR="0093509C" w:rsidRPr="00782D7B">
        <w:rPr>
          <w:rFonts w:ascii="Arial" w:hAnsi="Arial" w:cs="Arial"/>
          <w:sz w:val="24"/>
          <w:szCs w:val="24"/>
        </w:rPr>
        <w:t xml:space="preserve"> ionotropic receptors.</w:t>
      </w:r>
      <w:r w:rsidR="006843D3" w:rsidRPr="006843D3">
        <w:rPr>
          <w:rFonts w:ascii="ArialMT" w:hAnsi="ArialMT" w:cs="ArialMT"/>
          <w:sz w:val="24"/>
        </w:rPr>
        <w:t xml:space="preserve"> </w:t>
      </w:r>
      <w:r w:rsidR="006843D3">
        <w:rPr>
          <w:rFonts w:ascii="ArialMT" w:hAnsi="ArialMT" w:cs="ArialMT"/>
          <w:sz w:val="24"/>
        </w:rPr>
        <w:t>When the molecular sequence of these 5 muscle-expressed glutamate receptors were compared with</w:t>
      </w:r>
      <w:r w:rsidR="0093509C" w:rsidRPr="00782D7B">
        <w:rPr>
          <w:rFonts w:ascii="Arial" w:hAnsi="Arial" w:cs="Arial"/>
          <w:sz w:val="24"/>
          <w:szCs w:val="24"/>
        </w:rPr>
        <w:t xml:space="preserve"> vertebrates, they show</w:t>
      </w:r>
      <w:r w:rsidR="004C2A0A" w:rsidRPr="00782D7B">
        <w:rPr>
          <w:rFonts w:ascii="Arial" w:hAnsi="Arial" w:cs="Arial"/>
          <w:sz w:val="24"/>
          <w:szCs w:val="24"/>
        </w:rPr>
        <w:t>ed the most</w:t>
      </w:r>
      <w:r w:rsidR="0093509C" w:rsidRPr="00782D7B">
        <w:rPr>
          <w:rFonts w:ascii="Arial" w:hAnsi="Arial" w:cs="Arial"/>
          <w:sz w:val="24"/>
          <w:szCs w:val="24"/>
        </w:rPr>
        <w:t xml:space="preserve"> similarity to the vertebrate kainate/AMPA </w:t>
      </w:r>
      <w:r w:rsidR="0093509C" w:rsidRPr="00782D7B">
        <w:rPr>
          <w:rFonts w:ascii="Arial" w:hAnsi="Arial" w:cs="Arial"/>
          <w:sz w:val="24"/>
          <w:szCs w:val="24"/>
        </w:rPr>
        <w:lastRenderedPageBreak/>
        <w:t>receptor subtypes</w:t>
      </w:r>
      <w:r w:rsidR="00E73944" w:rsidRPr="00782D7B">
        <w:rPr>
          <w:rFonts w:ascii="Arial" w:hAnsi="Arial" w:cs="Arial"/>
          <w:sz w:val="24"/>
          <w:szCs w:val="24"/>
        </w:rPr>
        <w:t>;</w:t>
      </w:r>
      <w:r w:rsidR="0093509C" w:rsidRPr="00782D7B">
        <w:rPr>
          <w:rFonts w:ascii="Arial" w:hAnsi="Arial" w:cs="Arial"/>
          <w:sz w:val="24"/>
          <w:szCs w:val="24"/>
        </w:rPr>
        <w:t xml:space="preserve"> </w:t>
      </w:r>
      <w:r w:rsidR="00E73944" w:rsidRPr="00782D7B">
        <w:rPr>
          <w:rFonts w:ascii="Arial" w:hAnsi="Arial" w:cs="Arial"/>
          <w:sz w:val="24"/>
          <w:szCs w:val="24"/>
        </w:rPr>
        <w:t>t</w:t>
      </w:r>
      <w:r w:rsidR="0093509C" w:rsidRPr="00782D7B">
        <w:rPr>
          <w:rFonts w:ascii="Arial" w:hAnsi="Arial" w:cs="Arial"/>
          <w:sz w:val="24"/>
          <w:szCs w:val="24"/>
        </w:rPr>
        <w:t>herefore</w:t>
      </w:r>
      <w:r w:rsidR="00E73944" w:rsidRPr="00782D7B">
        <w:rPr>
          <w:rFonts w:ascii="Arial" w:hAnsi="Arial" w:cs="Arial"/>
          <w:sz w:val="24"/>
          <w:szCs w:val="24"/>
        </w:rPr>
        <w:t>,</w:t>
      </w:r>
      <w:r w:rsidR="0093509C" w:rsidRPr="00782D7B">
        <w:rPr>
          <w:rFonts w:ascii="Arial" w:hAnsi="Arial" w:cs="Arial"/>
          <w:sz w:val="24"/>
          <w:szCs w:val="24"/>
        </w:rPr>
        <w:t xml:space="preserve"> </w:t>
      </w:r>
      <w:r w:rsidR="00E73944" w:rsidRPr="00782D7B">
        <w:rPr>
          <w:rFonts w:ascii="Arial" w:hAnsi="Arial" w:cs="Arial"/>
          <w:sz w:val="24"/>
          <w:szCs w:val="24"/>
        </w:rPr>
        <w:t xml:space="preserve">they </w:t>
      </w:r>
      <w:r w:rsidR="0093509C" w:rsidRPr="00782D7B">
        <w:rPr>
          <w:rFonts w:ascii="Arial" w:hAnsi="Arial" w:cs="Arial"/>
          <w:sz w:val="24"/>
          <w:szCs w:val="24"/>
        </w:rPr>
        <w:t xml:space="preserve">have been defined as </w:t>
      </w:r>
      <w:r w:rsidR="00615F7E" w:rsidRPr="00782D7B">
        <w:rPr>
          <w:rFonts w:ascii="Arial" w:hAnsi="Arial" w:cs="Arial"/>
          <w:sz w:val="24"/>
          <w:szCs w:val="24"/>
        </w:rPr>
        <w:t xml:space="preserve">a </w:t>
      </w:r>
      <w:r w:rsidR="0093509C" w:rsidRPr="00782D7B">
        <w:rPr>
          <w:rFonts w:ascii="Arial" w:hAnsi="Arial" w:cs="Arial"/>
          <w:sz w:val="24"/>
          <w:szCs w:val="24"/>
        </w:rPr>
        <w:t>kainate receptor</w:t>
      </w:r>
      <w:r w:rsidR="00615F7E" w:rsidRPr="00782D7B">
        <w:rPr>
          <w:rFonts w:ascii="Arial" w:hAnsi="Arial" w:cs="Arial"/>
          <w:sz w:val="24"/>
          <w:szCs w:val="24"/>
        </w:rPr>
        <w:t xml:space="preserve"> subtype</w:t>
      </w:r>
      <w:r w:rsidR="0093509C" w:rsidRPr="00782D7B">
        <w:rPr>
          <w:rFonts w:ascii="Arial" w:hAnsi="Arial" w:cs="Arial"/>
          <w:sz w:val="24"/>
          <w:szCs w:val="24"/>
        </w:rPr>
        <w:t xml:space="preserve"> without pharmacological </w:t>
      </w:r>
      <w:r w:rsidR="00615F7E" w:rsidRPr="00782D7B">
        <w:rPr>
          <w:rFonts w:ascii="Arial" w:hAnsi="Arial" w:cs="Arial"/>
          <w:sz w:val="24"/>
          <w:szCs w:val="24"/>
        </w:rPr>
        <w:t xml:space="preserve">examination </w:t>
      </w:r>
      <w:r w:rsidR="006F4B1D" w:rsidRPr="00782D7B">
        <w:rPr>
          <w:rFonts w:ascii="Arial" w:hAnsi="Arial" w:cs="Arial"/>
          <w:sz w:val="24"/>
          <w:szCs w:val="24"/>
        </w:rPr>
        <w:t xml:space="preserve">(Betz </w:t>
      </w:r>
      <w:r w:rsidR="006F4B1D" w:rsidRPr="00782D7B">
        <w:rPr>
          <w:rFonts w:ascii="Arial" w:hAnsi="Arial" w:cs="Arial"/>
          <w:iCs/>
          <w:sz w:val="24"/>
          <w:szCs w:val="24"/>
        </w:rPr>
        <w:t>et al</w:t>
      </w:r>
      <w:r w:rsidR="006F4B1D" w:rsidRPr="00782D7B">
        <w:rPr>
          <w:rFonts w:ascii="Arial" w:hAnsi="Arial" w:cs="Arial"/>
          <w:sz w:val="24"/>
          <w:szCs w:val="24"/>
        </w:rPr>
        <w:t xml:space="preserve">., 1993; </w:t>
      </w:r>
      <w:r w:rsidR="00324861" w:rsidRPr="00782D7B">
        <w:rPr>
          <w:rFonts w:ascii="Arial" w:hAnsi="Arial" w:cs="Arial"/>
          <w:sz w:val="24"/>
          <w:szCs w:val="24"/>
        </w:rPr>
        <w:t xml:space="preserve">Guerrero et al., 2005; </w:t>
      </w:r>
      <w:r w:rsidR="006F4B1D" w:rsidRPr="00782D7B">
        <w:rPr>
          <w:rFonts w:ascii="Arial" w:hAnsi="Arial" w:cs="Arial"/>
          <w:sz w:val="24"/>
          <w:szCs w:val="24"/>
        </w:rPr>
        <w:t xml:space="preserve">Marrus </w:t>
      </w:r>
      <w:r w:rsidR="006F4B1D" w:rsidRPr="00782D7B">
        <w:rPr>
          <w:rFonts w:ascii="Arial" w:hAnsi="Arial" w:cs="Arial"/>
          <w:iCs/>
          <w:sz w:val="24"/>
          <w:szCs w:val="24"/>
        </w:rPr>
        <w:t>et al</w:t>
      </w:r>
      <w:r w:rsidR="006F4B1D" w:rsidRPr="00782D7B">
        <w:rPr>
          <w:rFonts w:ascii="Arial" w:hAnsi="Arial" w:cs="Arial"/>
          <w:sz w:val="24"/>
          <w:szCs w:val="24"/>
        </w:rPr>
        <w:t xml:space="preserve">., 2004; Qin et al., 2005; </w:t>
      </w:r>
      <w:r w:rsidR="00324861" w:rsidRPr="00782D7B">
        <w:rPr>
          <w:rFonts w:ascii="Arial" w:hAnsi="Arial" w:cs="Arial"/>
          <w:sz w:val="24"/>
          <w:szCs w:val="24"/>
        </w:rPr>
        <w:t xml:space="preserve">Völkner </w:t>
      </w:r>
      <w:r w:rsidR="00324861" w:rsidRPr="00782D7B">
        <w:rPr>
          <w:rFonts w:ascii="Arial" w:hAnsi="Arial" w:cs="Arial"/>
          <w:iCs/>
          <w:sz w:val="24"/>
          <w:szCs w:val="24"/>
        </w:rPr>
        <w:t>et al</w:t>
      </w:r>
      <w:r w:rsidR="00324861" w:rsidRPr="00782D7B">
        <w:rPr>
          <w:rFonts w:ascii="Arial" w:hAnsi="Arial" w:cs="Arial"/>
          <w:sz w:val="24"/>
          <w:szCs w:val="24"/>
        </w:rPr>
        <w:t>., 2000</w:t>
      </w:r>
      <w:r w:rsidR="006F4B1D" w:rsidRPr="00782D7B">
        <w:rPr>
          <w:rFonts w:ascii="Arial" w:hAnsi="Arial" w:cs="Arial"/>
          <w:sz w:val="24"/>
          <w:szCs w:val="24"/>
        </w:rPr>
        <w:t>)</w:t>
      </w:r>
      <w:r w:rsidR="0093509C" w:rsidRPr="00782D7B">
        <w:rPr>
          <w:rFonts w:ascii="Arial" w:hAnsi="Arial" w:cs="Arial"/>
          <w:sz w:val="24"/>
          <w:szCs w:val="24"/>
        </w:rPr>
        <w:t>. However, a recent physiological and pharmacological study demonstrates that the responses are primarily of a quisqualate subtype and not a kainate or a AMPA subtype since the muscle is not depolarized by kain</w:t>
      </w:r>
      <w:r w:rsidR="00615F7E" w:rsidRPr="00782D7B">
        <w:rPr>
          <w:rFonts w:ascii="Arial" w:hAnsi="Arial" w:cs="Arial"/>
          <w:sz w:val="24"/>
          <w:szCs w:val="24"/>
        </w:rPr>
        <w:t>a</w:t>
      </w:r>
      <w:r w:rsidR="0093509C" w:rsidRPr="00782D7B">
        <w:rPr>
          <w:rFonts w:ascii="Arial" w:hAnsi="Arial" w:cs="Arial"/>
          <w:sz w:val="24"/>
          <w:szCs w:val="24"/>
        </w:rPr>
        <w:t>te or AMPA at concentrations as high as 1mM</w:t>
      </w:r>
      <w:r w:rsidR="006F4B1D" w:rsidRPr="00782D7B">
        <w:rPr>
          <w:rFonts w:ascii="Arial" w:hAnsi="Arial" w:cs="Arial"/>
          <w:sz w:val="24"/>
          <w:szCs w:val="24"/>
        </w:rPr>
        <w:t xml:space="preserve"> (Bhatt and Cooper, 2005).</w:t>
      </w:r>
      <w:r w:rsidR="0093509C" w:rsidRPr="00782D7B">
        <w:rPr>
          <w:rFonts w:ascii="Arial" w:hAnsi="Arial" w:cs="Arial"/>
          <w:sz w:val="24"/>
          <w:szCs w:val="24"/>
        </w:rPr>
        <w:t xml:space="preserve"> In fact, it appears that kain</w:t>
      </w:r>
      <w:r w:rsidR="00615F7E" w:rsidRPr="00782D7B">
        <w:rPr>
          <w:rFonts w:ascii="Arial" w:hAnsi="Arial" w:cs="Arial"/>
          <w:sz w:val="24"/>
          <w:szCs w:val="24"/>
        </w:rPr>
        <w:t>a</w:t>
      </w:r>
      <w:r w:rsidR="0093509C" w:rsidRPr="00782D7B">
        <w:rPr>
          <w:rFonts w:ascii="Arial" w:hAnsi="Arial" w:cs="Arial"/>
          <w:sz w:val="24"/>
          <w:szCs w:val="24"/>
        </w:rPr>
        <w:t>te might block the glutamate receptors since the ex</w:t>
      </w:r>
      <w:r w:rsidR="0050143E" w:rsidRPr="00782D7B">
        <w:rPr>
          <w:rFonts w:ascii="Arial" w:hAnsi="Arial" w:cs="Arial"/>
          <w:sz w:val="24"/>
          <w:szCs w:val="24"/>
        </w:rPr>
        <w:t>citatory postsynaptic potential (EPSP) is reduced in the presence of kainate (on average by 40% for 1mM and 500</w:t>
      </w:r>
      <w:r w:rsidR="00FC6DE7" w:rsidRPr="00782D7B">
        <w:rPr>
          <w:rFonts w:ascii="Arial" w:hAnsi="Arial" w:cs="Arial"/>
          <w:sz w:val="24"/>
          <w:szCs w:val="24"/>
        </w:rPr>
        <w:t>μ</w:t>
      </w:r>
      <w:r w:rsidR="0050143E" w:rsidRPr="00782D7B">
        <w:rPr>
          <w:rFonts w:ascii="Arial" w:hAnsi="Arial" w:cs="Arial"/>
          <w:sz w:val="24"/>
          <w:szCs w:val="24"/>
        </w:rPr>
        <w:t>M but about 20% for 100</w:t>
      </w:r>
      <w:r w:rsidR="00FC6DE7" w:rsidRPr="00782D7B">
        <w:rPr>
          <w:rFonts w:ascii="Arial" w:hAnsi="Arial" w:cs="Arial"/>
          <w:sz w:val="24"/>
          <w:szCs w:val="24"/>
        </w:rPr>
        <w:t>μ</w:t>
      </w:r>
      <w:r w:rsidR="0050143E" w:rsidRPr="00782D7B">
        <w:rPr>
          <w:rFonts w:ascii="Arial" w:hAnsi="Arial" w:cs="Arial"/>
          <w:sz w:val="24"/>
          <w:szCs w:val="24"/>
        </w:rPr>
        <w:t>M). The reduction in the EPSP amplitude occurred without any significant change in resting membrane potential; thus, kainate did not depolarize the muscle as observed for application of glutamate or quisqualate</w:t>
      </w:r>
      <w:r w:rsidR="004838D6" w:rsidRPr="00782D7B">
        <w:rPr>
          <w:rFonts w:ascii="Arial" w:hAnsi="Arial" w:cs="Arial"/>
          <w:sz w:val="24"/>
          <w:szCs w:val="24"/>
        </w:rPr>
        <w:t xml:space="preserve"> (Bhatt and Cooper, 2005).</w:t>
      </w:r>
      <w:r w:rsidR="00806D3B" w:rsidRPr="00782D7B">
        <w:rPr>
          <w:rFonts w:ascii="Arial" w:hAnsi="Arial" w:cs="Arial"/>
          <w:sz w:val="24"/>
          <w:szCs w:val="24"/>
        </w:rPr>
        <w:t xml:space="preserve"> </w:t>
      </w:r>
    </w:p>
    <w:p w:rsidR="00073283" w:rsidRPr="00782D7B" w:rsidRDefault="00976A3E" w:rsidP="00D65B65">
      <w:pPr>
        <w:spacing w:line="480" w:lineRule="auto"/>
        <w:jc w:val="both"/>
        <w:rPr>
          <w:rFonts w:ascii="Arial" w:hAnsi="Arial" w:cs="Arial"/>
          <w:sz w:val="24"/>
          <w:szCs w:val="24"/>
        </w:rPr>
      </w:pPr>
      <w:r w:rsidRPr="00782D7B">
        <w:rPr>
          <w:rFonts w:ascii="Arial" w:hAnsi="Arial" w:cs="Arial"/>
          <w:sz w:val="24"/>
          <w:szCs w:val="24"/>
        </w:rPr>
        <w:tab/>
        <w:t xml:space="preserve">In addition, the procedures </w:t>
      </w:r>
      <w:r w:rsidR="0085699C" w:rsidRPr="00782D7B">
        <w:rPr>
          <w:rFonts w:ascii="Arial" w:hAnsi="Arial" w:cs="Arial"/>
          <w:sz w:val="24"/>
          <w:szCs w:val="24"/>
        </w:rPr>
        <w:t xml:space="preserve">used to identify the molecular sequence of the </w:t>
      </w:r>
      <w:r w:rsidR="00182BED" w:rsidRPr="00782D7B">
        <w:rPr>
          <w:rFonts w:ascii="Arial" w:hAnsi="Arial" w:cs="Arial"/>
          <w:sz w:val="24"/>
          <w:szCs w:val="24"/>
        </w:rPr>
        <w:t>glutamate</w:t>
      </w:r>
      <w:r w:rsidR="0085699C" w:rsidRPr="00782D7B">
        <w:rPr>
          <w:rFonts w:ascii="Arial" w:hAnsi="Arial" w:cs="Arial"/>
          <w:sz w:val="24"/>
          <w:szCs w:val="24"/>
        </w:rPr>
        <w:t xml:space="preserve"> </w:t>
      </w:r>
      <w:r w:rsidR="00182BED" w:rsidRPr="00782D7B">
        <w:rPr>
          <w:rFonts w:ascii="Arial" w:hAnsi="Arial" w:cs="Arial"/>
          <w:sz w:val="24"/>
          <w:szCs w:val="24"/>
        </w:rPr>
        <w:t>receptors</w:t>
      </w:r>
      <w:r w:rsidR="0085699C" w:rsidRPr="00782D7B">
        <w:rPr>
          <w:rFonts w:ascii="Arial" w:hAnsi="Arial" w:cs="Arial"/>
          <w:sz w:val="24"/>
          <w:szCs w:val="24"/>
        </w:rPr>
        <w:t xml:space="preserve"> at the NMJ, by</w:t>
      </w:r>
      <w:r w:rsidRPr="00782D7B">
        <w:rPr>
          <w:rFonts w:ascii="Arial" w:hAnsi="Arial" w:cs="Arial"/>
          <w:sz w:val="24"/>
          <w:szCs w:val="24"/>
        </w:rPr>
        <w:t xml:space="preserve"> </w:t>
      </w:r>
      <w:r w:rsidR="00E73944" w:rsidRPr="00782D7B">
        <w:rPr>
          <w:rFonts w:ascii="Arial" w:hAnsi="Arial" w:cs="Arial"/>
          <w:sz w:val="24"/>
          <w:szCs w:val="24"/>
        </w:rPr>
        <w:t>homogenizing</w:t>
      </w:r>
      <w:r w:rsidRPr="00782D7B">
        <w:rPr>
          <w:rFonts w:ascii="Arial" w:hAnsi="Arial" w:cs="Arial"/>
          <w:sz w:val="24"/>
          <w:szCs w:val="24"/>
        </w:rPr>
        <w:t xml:space="preserve"> the skeletal muscle and body wall</w:t>
      </w:r>
      <w:r w:rsidR="0085699C" w:rsidRPr="00782D7B">
        <w:rPr>
          <w:rFonts w:ascii="Arial" w:hAnsi="Arial" w:cs="Arial"/>
          <w:sz w:val="24"/>
          <w:szCs w:val="24"/>
        </w:rPr>
        <w:t>,</w:t>
      </w:r>
      <w:r w:rsidRPr="00782D7B">
        <w:rPr>
          <w:rFonts w:ascii="Arial" w:hAnsi="Arial" w:cs="Arial"/>
          <w:sz w:val="24"/>
          <w:szCs w:val="24"/>
        </w:rPr>
        <w:t xml:space="preserve"> did not allow for assessment </w:t>
      </w:r>
      <w:r w:rsidR="0085699C" w:rsidRPr="00782D7B">
        <w:rPr>
          <w:rFonts w:ascii="Arial" w:hAnsi="Arial" w:cs="Arial"/>
          <w:sz w:val="24"/>
          <w:szCs w:val="24"/>
        </w:rPr>
        <w:t xml:space="preserve">for potential </w:t>
      </w:r>
      <w:r w:rsidRPr="00782D7B">
        <w:rPr>
          <w:rFonts w:ascii="Arial" w:hAnsi="Arial" w:cs="Arial"/>
          <w:sz w:val="24"/>
          <w:szCs w:val="24"/>
        </w:rPr>
        <w:t>presynaptic</w:t>
      </w:r>
      <w:r w:rsidR="0085699C" w:rsidRPr="00782D7B">
        <w:rPr>
          <w:rFonts w:ascii="Arial" w:hAnsi="Arial" w:cs="Arial"/>
          <w:sz w:val="24"/>
          <w:szCs w:val="24"/>
        </w:rPr>
        <w:t xml:space="preserve"> glutamate receptors</w:t>
      </w:r>
      <w:r w:rsidR="00D65B65">
        <w:rPr>
          <w:rFonts w:ascii="Arial" w:hAnsi="Arial" w:cs="Arial"/>
          <w:sz w:val="24"/>
          <w:szCs w:val="24"/>
        </w:rPr>
        <w:t xml:space="preserve"> (</w:t>
      </w:r>
      <w:r w:rsidR="00D65B65" w:rsidRPr="00782D7B">
        <w:rPr>
          <w:rFonts w:ascii="Arial" w:hAnsi="Arial" w:cs="Arial"/>
          <w:sz w:val="24"/>
          <w:szCs w:val="24"/>
        </w:rPr>
        <w:t xml:space="preserve">Guerrero et al., 2005; </w:t>
      </w:r>
      <w:r w:rsidR="00D65B65" w:rsidRPr="00782D7B">
        <w:rPr>
          <w:rFonts w:ascii="Arial" w:eastAsia="Times New Roman" w:hAnsi="Arial" w:cs="Arial"/>
          <w:sz w:val="24"/>
          <w:szCs w:val="24"/>
          <w:lang w:eastAsia="en-US"/>
        </w:rPr>
        <w:t>Marrus et al., 2004</w:t>
      </w:r>
      <w:r w:rsidR="00D65B65">
        <w:rPr>
          <w:rFonts w:ascii="Arial" w:eastAsia="Times New Roman" w:hAnsi="Arial" w:cs="Arial"/>
          <w:sz w:val="24"/>
          <w:szCs w:val="24"/>
          <w:lang w:eastAsia="en-US"/>
        </w:rPr>
        <w:t xml:space="preserve">; </w:t>
      </w:r>
      <w:r w:rsidR="00D65B65" w:rsidRPr="006877F5">
        <w:rPr>
          <w:rFonts w:ascii="Arial" w:hAnsi="Arial" w:cs="Arial"/>
          <w:sz w:val="24"/>
        </w:rPr>
        <w:t>Qin et al., 2005</w:t>
      </w:r>
      <w:r w:rsidR="00D65B65">
        <w:rPr>
          <w:rFonts w:ascii="Arial" w:hAnsi="Arial" w:cs="Arial"/>
          <w:sz w:val="24"/>
        </w:rPr>
        <w:t>)</w:t>
      </w:r>
      <w:r w:rsidRPr="00782D7B">
        <w:rPr>
          <w:rFonts w:ascii="Arial" w:hAnsi="Arial" w:cs="Arial"/>
          <w:sz w:val="24"/>
          <w:szCs w:val="24"/>
        </w:rPr>
        <w:t xml:space="preserve">. </w:t>
      </w:r>
      <w:r w:rsidR="005A2C7D" w:rsidRPr="00782D7B">
        <w:rPr>
          <w:rFonts w:ascii="Arial" w:hAnsi="Arial" w:cs="Arial"/>
          <w:sz w:val="24"/>
          <w:szCs w:val="24"/>
        </w:rPr>
        <w:t>In t</w:t>
      </w:r>
      <w:r w:rsidRPr="00782D7B">
        <w:rPr>
          <w:rFonts w:ascii="Arial" w:hAnsi="Arial" w:cs="Arial"/>
          <w:sz w:val="24"/>
          <w:szCs w:val="24"/>
        </w:rPr>
        <w:t>he past procedure</w:t>
      </w:r>
      <w:r w:rsidR="005A2C7D" w:rsidRPr="00782D7B">
        <w:rPr>
          <w:rFonts w:ascii="Arial" w:hAnsi="Arial" w:cs="Arial"/>
          <w:sz w:val="24"/>
          <w:szCs w:val="24"/>
        </w:rPr>
        <w:t>,</w:t>
      </w:r>
      <w:r w:rsidRPr="00782D7B">
        <w:rPr>
          <w:rFonts w:ascii="Arial" w:hAnsi="Arial" w:cs="Arial"/>
          <w:sz w:val="24"/>
          <w:szCs w:val="24"/>
        </w:rPr>
        <w:t xml:space="preserve"> the CNS </w:t>
      </w:r>
      <w:r w:rsidR="005A2C7D" w:rsidRPr="00782D7B">
        <w:rPr>
          <w:rFonts w:ascii="Arial" w:hAnsi="Arial" w:cs="Arial"/>
          <w:sz w:val="24"/>
          <w:szCs w:val="24"/>
        </w:rPr>
        <w:t xml:space="preserve">was removed </w:t>
      </w:r>
      <w:r w:rsidRPr="00782D7B">
        <w:rPr>
          <w:rFonts w:ascii="Arial" w:hAnsi="Arial" w:cs="Arial"/>
          <w:sz w:val="24"/>
          <w:szCs w:val="24"/>
        </w:rPr>
        <w:t xml:space="preserve">and thus the cell bodies </w:t>
      </w:r>
      <w:r w:rsidR="005A2C7D" w:rsidRPr="00782D7B">
        <w:rPr>
          <w:rFonts w:ascii="Arial" w:hAnsi="Arial" w:cs="Arial"/>
          <w:sz w:val="24"/>
          <w:szCs w:val="24"/>
        </w:rPr>
        <w:t>of</w:t>
      </w:r>
      <w:r w:rsidRPr="00782D7B">
        <w:rPr>
          <w:rFonts w:ascii="Arial" w:hAnsi="Arial" w:cs="Arial"/>
          <w:sz w:val="24"/>
          <w:szCs w:val="24"/>
        </w:rPr>
        <w:t xml:space="preserve"> the motor neurons</w:t>
      </w:r>
      <w:r w:rsidR="00E73944" w:rsidRPr="00782D7B">
        <w:rPr>
          <w:rFonts w:ascii="Arial" w:hAnsi="Arial" w:cs="Arial"/>
          <w:sz w:val="24"/>
          <w:szCs w:val="24"/>
        </w:rPr>
        <w:t xml:space="preserve"> were not </w:t>
      </w:r>
      <w:r w:rsidR="002568BE" w:rsidRPr="00782D7B">
        <w:rPr>
          <w:rFonts w:ascii="Arial" w:hAnsi="Arial" w:cs="Arial"/>
          <w:sz w:val="24"/>
          <w:szCs w:val="24"/>
        </w:rPr>
        <w:t>incorporated</w:t>
      </w:r>
      <w:r w:rsidR="00E73944" w:rsidRPr="00782D7B">
        <w:rPr>
          <w:rFonts w:ascii="Arial" w:hAnsi="Arial" w:cs="Arial"/>
          <w:sz w:val="24"/>
          <w:szCs w:val="24"/>
        </w:rPr>
        <w:t xml:space="preserve"> in the assay</w:t>
      </w:r>
      <w:r w:rsidR="004568B5" w:rsidRPr="00782D7B">
        <w:rPr>
          <w:rFonts w:ascii="Arial" w:hAnsi="Arial" w:cs="Arial"/>
          <w:sz w:val="24"/>
          <w:szCs w:val="24"/>
        </w:rPr>
        <w:t xml:space="preserve">. Considering that there are presynaptic </w:t>
      </w:r>
      <w:r w:rsidR="00205B16" w:rsidRPr="00782D7B">
        <w:rPr>
          <w:rFonts w:ascii="Arial" w:hAnsi="Arial" w:cs="Arial"/>
          <w:sz w:val="24"/>
          <w:szCs w:val="24"/>
        </w:rPr>
        <w:t>glutamatergic receptors</w:t>
      </w:r>
      <w:r w:rsidR="004568B5" w:rsidRPr="00782D7B">
        <w:rPr>
          <w:rFonts w:ascii="Arial" w:hAnsi="Arial" w:cs="Arial"/>
          <w:sz w:val="24"/>
          <w:szCs w:val="24"/>
        </w:rPr>
        <w:t xml:space="preserve"> </w:t>
      </w:r>
      <w:r w:rsidR="00205B16" w:rsidRPr="00782D7B">
        <w:rPr>
          <w:rFonts w:ascii="Arial" w:hAnsi="Arial" w:cs="Arial"/>
          <w:sz w:val="24"/>
          <w:szCs w:val="24"/>
        </w:rPr>
        <w:t>for</w:t>
      </w:r>
      <w:r w:rsidR="004568B5" w:rsidRPr="00782D7B">
        <w:rPr>
          <w:rFonts w:ascii="Arial" w:hAnsi="Arial" w:cs="Arial"/>
          <w:sz w:val="24"/>
          <w:szCs w:val="24"/>
        </w:rPr>
        <w:t xml:space="preserve"> </w:t>
      </w:r>
      <w:r w:rsidR="005A2C7D" w:rsidRPr="00782D7B">
        <w:rPr>
          <w:rFonts w:ascii="Arial" w:hAnsi="Arial" w:cs="Arial"/>
          <w:sz w:val="24"/>
          <w:szCs w:val="24"/>
        </w:rPr>
        <w:t xml:space="preserve">neurons in </w:t>
      </w:r>
      <w:r w:rsidR="004568B5" w:rsidRPr="00782D7B">
        <w:rPr>
          <w:rFonts w:ascii="Arial" w:hAnsi="Arial" w:cs="Arial"/>
          <w:sz w:val="24"/>
          <w:szCs w:val="24"/>
        </w:rPr>
        <w:t>the vertebrate CNS (</w:t>
      </w:r>
      <w:r w:rsidR="005A2C7D" w:rsidRPr="00782D7B">
        <w:rPr>
          <w:rFonts w:ascii="Arial" w:hAnsi="Arial" w:cs="Arial"/>
          <w:sz w:val="24"/>
          <w:szCs w:val="24"/>
        </w:rPr>
        <w:t>Park et al., 2006</w:t>
      </w:r>
      <w:r w:rsidR="004568B5" w:rsidRPr="00782D7B">
        <w:rPr>
          <w:rFonts w:ascii="Arial" w:hAnsi="Arial" w:cs="Arial"/>
          <w:sz w:val="24"/>
          <w:szCs w:val="24"/>
        </w:rPr>
        <w:t xml:space="preserve">) and </w:t>
      </w:r>
      <w:r w:rsidR="00205B16" w:rsidRPr="00782D7B">
        <w:rPr>
          <w:rFonts w:ascii="Arial" w:hAnsi="Arial" w:cs="Arial"/>
          <w:sz w:val="24"/>
          <w:szCs w:val="24"/>
        </w:rPr>
        <w:t xml:space="preserve">at </w:t>
      </w:r>
      <w:r w:rsidR="004568B5" w:rsidRPr="00782D7B">
        <w:rPr>
          <w:rFonts w:ascii="Arial" w:hAnsi="Arial" w:cs="Arial"/>
          <w:sz w:val="24"/>
          <w:szCs w:val="24"/>
        </w:rPr>
        <w:t>crayfish NMJ</w:t>
      </w:r>
      <w:r w:rsidR="005A2C7D" w:rsidRPr="00782D7B">
        <w:rPr>
          <w:rFonts w:ascii="Arial" w:hAnsi="Arial" w:cs="Arial"/>
          <w:sz w:val="24"/>
          <w:szCs w:val="24"/>
        </w:rPr>
        <w:t>s</w:t>
      </w:r>
      <w:r w:rsidR="004568B5" w:rsidRPr="00782D7B">
        <w:rPr>
          <w:rFonts w:ascii="Arial" w:hAnsi="Arial" w:cs="Arial"/>
          <w:sz w:val="24"/>
          <w:szCs w:val="24"/>
        </w:rPr>
        <w:t xml:space="preserve"> (</w:t>
      </w:r>
      <w:r w:rsidR="009358EF" w:rsidRPr="00782D7B">
        <w:rPr>
          <w:rFonts w:ascii="Arial" w:hAnsi="Arial" w:cs="Arial"/>
          <w:sz w:val="24"/>
          <w:szCs w:val="24"/>
        </w:rPr>
        <w:t>Schramm and Dudel, 1997</w:t>
      </w:r>
      <w:r w:rsidR="004568B5" w:rsidRPr="00782D7B">
        <w:rPr>
          <w:rFonts w:ascii="Arial" w:hAnsi="Arial" w:cs="Arial"/>
          <w:sz w:val="24"/>
          <w:szCs w:val="24"/>
        </w:rPr>
        <w:t>)</w:t>
      </w:r>
      <w:r w:rsidR="00E73944" w:rsidRPr="00782D7B">
        <w:rPr>
          <w:rFonts w:ascii="Arial" w:hAnsi="Arial" w:cs="Arial"/>
          <w:sz w:val="24"/>
          <w:szCs w:val="24"/>
        </w:rPr>
        <w:t>,</w:t>
      </w:r>
      <w:r w:rsidR="004568B5" w:rsidRPr="00782D7B">
        <w:rPr>
          <w:rFonts w:ascii="Arial" w:hAnsi="Arial" w:cs="Arial"/>
          <w:sz w:val="24"/>
          <w:szCs w:val="24"/>
        </w:rPr>
        <w:t xml:space="preserve"> there </w:t>
      </w:r>
      <w:r w:rsidR="005A2C7D" w:rsidRPr="00782D7B">
        <w:rPr>
          <w:rFonts w:ascii="Arial" w:hAnsi="Arial" w:cs="Arial"/>
          <w:sz w:val="24"/>
          <w:szCs w:val="24"/>
        </w:rPr>
        <w:t>may well be</w:t>
      </w:r>
      <w:r w:rsidR="004568B5" w:rsidRPr="00782D7B">
        <w:rPr>
          <w:rFonts w:ascii="Arial" w:hAnsi="Arial" w:cs="Arial"/>
          <w:sz w:val="24"/>
          <w:szCs w:val="24"/>
        </w:rPr>
        <w:t xml:space="preserve"> pre-synaptic autoreceptors</w:t>
      </w:r>
      <w:r w:rsidR="005A2C7D" w:rsidRPr="00782D7B">
        <w:rPr>
          <w:rFonts w:ascii="Arial" w:hAnsi="Arial" w:cs="Arial"/>
          <w:sz w:val="24"/>
          <w:szCs w:val="24"/>
        </w:rPr>
        <w:t xml:space="preserve"> present at the </w:t>
      </w:r>
      <w:r w:rsidR="005A2C7D" w:rsidRPr="00782D7B">
        <w:rPr>
          <w:rFonts w:ascii="Arial" w:hAnsi="Arial" w:cs="Arial"/>
          <w:i/>
          <w:sz w:val="24"/>
          <w:szCs w:val="24"/>
        </w:rPr>
        <w:t>Drosophila</w:t>
      </w:r>
      <w:r w:rsidR="005A2C7D" w:rsidRPr="00782D7B">
        <w:rPr>
          <w:rFonts w:ascii="Arial" w:hAnsi="Arial" w:cs="Arial"/>
          <w:sz w:val="24"/>
          <w:szCs w:val="24"/>
        </w:rPr>
        <w:t xml:space="preserve"> NMJ.  Crayfish NMJs show many similarities to the larval </w:t>
      </w:r>
      <w:r w:rsidR="005A2C7D" w:rsidRPr="00782D7B">
        <w:rPr>
          <w:rFonts w:ascii="Arial" w:hAnsi="Arial" w:cs="Arial"/>
          <w:i/>
          <w:sz w:val="24"/>
          <w:szCs w:val="24"/>
        </w:rPr>
        <w:t>Drosophila</w:t>
      </w:r>
      <w:r w:rsidR="005A2C7D" w:rsidRPr="00782D7B">
        <w:rPr>
          <w:rFonts w:ascii="Arial" w:hAnsi="Arial" w:cs="Arial"/>
          <w:sz w:val="24"/>
          <w:szCs w:val="24"/>
        </w:rPr>
        <w:t xml:space="preserve"> </w:t>
      </w:r>
      <w:r w:rsidR="00E73944" w:rsidRPr="00782D7B">
        <w:rPr>
          <w:rFonts w:ascii="Arial" w:hAnsi="Arial" w:cs="Arial"/>
          <w:sz w:val="24"/>
          <w:szCs w:val="24"/>
        </w:rPr>
        <w:t>NMJs</w:t>
      </w:r>
      <w:r w:rsidR="005A2C7D" w:rsidRPr="00782D7B">
        <w:rPr>
          <w:rFonts w:ascii="Arial" w:hAnsi="Arial" w:cs="Arial"/>
          <w:sz w:val="24"/>
          <w:szCs w:val="24"/>
        </w:rPr>
        <w:t xml:space="preserve"> (Atwood and Cooper, 1995,</w:t>
      </w:r>
      <w:r w:rsidR="009358EF" w:rsidRPr="00782D7B">
        <w:rPr>
          <w:rFonts w:ascii="Arial" w:hAnsi="Arial" w:cs="Arial"/>
          <w:sz w:val="24"/>
          <w:szCs w:val="24"/>
        </w:rPr>
        <w:t>1996</w:t>
      </w:r>
      <w:r w:rsidR="005A2C7D" w:rsidRPr="00782D7B">
        <w:rPr>
          <w:rFonts w:ascii="Arial" w:hAnsi="Arial" w:cs="Arial"/>
          <w:sz w:val="24"/>
          <w:szCs w:val="24"/>
        </w:rPr>
        <w:t xml:space="preserve">) which is not so </w:t>
      </w:r>
      <w:r w:rsidR="006843D3">
        <w:rPr>
          <w:rFonts w:ascii="ArialMT" w:hAnsi="ArialMT" w:cs="ArialMT"/>
          <w:sz w:val="24"/>
        </w:rPr>
        <w:t xml:space="preserve">surprising since both crayfish and </w:t>
      </w:r>
      <w:r w:rsidR="006843D3">
        <w:rPr>
          <w:rFonts w:ascii="Arial-ItalicMT" w:hAnsi="Arial-ItalicMT" w:cs="Arial-ItalicMT"/>
          <w:i/>
          <w:iCs/>
          <w:sz w:val="24"/>
        </w:rPr>
        <w:t xml:space="preserve">Drosophila </w:t>
      </w:r>
      <w:r w:rsidR="006843D3">
        <w:rPr>
          <w:rFonts w:ascii="ArialMT" w:hAnsi="ArialMT" w:cs="ArialMT"/>
          <w:sz w:val="24"/>
        </w:rPr>
        <w:t>are</w:t>
      </w:r>
      <w:r w:rsidR="006843D3" w:rsidRPr="00782D7B">
        <w:rPr>
          <w:rFonts w:ascii="Arial" w:hAnsi="Arial" w:cs="Arial"/>
          <w:sz w:val="24"/>
          <w:szCs w:val="24"/>
        </w:rPr>
        <w:t xml:space="preserve"> </w:t>
      </w:r>
      <w:r w:rsidR="005A2C7D" w:rsidRPr="00782D7B">
        <w:rPr>
          <w:rFonts w:ascii="Arial" w:hAnsi="Arial" w:cs="Arial"/>
          <w:sz w:val="24"/>
          <w:szCs w:val="24"/>
        </w:rPr>
        <w:t xml:space="preserve">arthropods. </w:t>
      </w:r>
      <w:r w:rsidR="007A5403" w:rsidRPr="00782D7B">
        <w:rPr>
          <w:rFonts w:ascii="Arial" w:hAnsi="Arial" w:cs="Arial"/>
          <w:sz w:val="24"/>
          <w:szCs w:val="24"/>
        </w:rPr>
        <w:t xml:space="preserve">However, mixed results </w:t>
      </w:r>
      <w:r w:rsidR="00205B16" w:rsidRPr="00782D7B">
        <w:rPr>
          <w:rFonts w:ascii="Arial" w:hAnsi="Arial" w:cs="Arial"/>
          <w:sz w:val="24"/>
          <w:szCs w:val="24"/>
        </w:rPr>
        <w:t xml:space="preserve">for the </w:t>
      </w:r>
      <w:r w:rsidR="00182BED" w:rsidRPr="00782D7B">
        <w:rPr>
          <w:rFonts w:ascii="Arial" w:hAnsi="Arial" w:cs="Arial"/>
          <w:sz w:val="24"/>
          <w:szCs w:val="24"/>
        </w:rPr>
        <w:t>glutamatergic</w:t>
      </w:r>
      <w:r w:rsidR="00205B16" w:rsidRPr="00782D7B">
        <w:rPr>
          <w:rFonts w:ascii="Arial" w:hAnsi="Arial" w:cs="Arial"/>
          <w:sz w:val="24"/>
          <w:szCs w:val="24"/>
        </w:rPr>
        <w:t xml:space="preserve"> autoreceptors </w:t>
      </w:r>
      <w:r w:rsidR="007A5403" w:rsidRPr="00782D7B">
        <w:rPr>
          <w:rFonts w:ascii="Arial" w:hAnsi="Arial" w:cs="Arial"/>
          <w:sz w:val="24"/>
          <w:szCs w:val="24"/>
        </w:rPr>
        <w:t xml:space="preserve">were obtained at the </w:t>
      </w:r>
      <w:r w:rsidR="007A5403" w:rsidRPr="00782D7B">
        <w:rPr>
          <w:rFonts w:ascii="Arial" w:hAnsi="Arial" w:cs="Arial"/>
          <w:sz w:val="24"/>
          <w:szCs w:val="24"/>
        </w:rPr>
        <w:lastRenderedPageBreak/>
        <w:t xml:space="preserve">crayfish NMJ in that the responses depended on the depolarized state of the nerve terminal for the facilitatory action of exogenously applied glutamate and </w:t>
      </w:r>
      <w:r w:rsidR="00205B16" w:rsidRPr="00782D7B">
        <w:rPr>
          <w:rFonts w:ascii="Arial" w:hAnsi="Arial" w:cs="Arial"/>
          <w:sz w:val="24"/>
          <w:szCs w:val="24"/>
        </w:rPr>
        <w:t xml:space="preserve">for </w:t>
      </w:r>
      <w:r w:rsidR="007A5403" w:rsidRPr="00782D7B">
        <w:rPr>
          <w:rFonts w:ascii="Arial" w:hAnsi="Arial" w:cs="Arial"/>
          <w:sz w:val="24"/>
          <w:szCs w:val="24"/>
        </w:rPr>
        <w:t>the metabotropic agonist t-ACPD (Schramm and Dudel, 1997). In addition, some preparations showed a depression of presynaptic release while yet other preparations exhibited excitation at the same concentration of t-ACPD.  Regardless of the response at the crayfish NMJ, there appears to be one or more types of presynaptic, glutamatergic receptors</w:t>
      </w:r>
      <w:r w:rsidR="00205B16" w:rsidRPr="00782D7B">
        <w:rPr>
          <w:rFonts w:ascii="Arial" w:hAnsi="Arial" w:cs="Arial"/>
          <w:sz w:val="24"/>
          <w:szCs w:val="24"/>
        </w:rPr>
        <w:t xml:space="preserve"> for th</w:t>
      </w:r>
      <w:r w:rsidR="0085699C" w:rsidRPr="00782D7B">
        <w:rPr>
          <w:rFonts w:ascii="Arial" w:hAnsi="Arial" w:cs="Arial"/>
          <w:sz w:val="24"/>
          <w:szCs w:val="24"/>
        </w:rPr>
        <w:t xml:space="preserve">e crayfish </w:t>
      </w:r>
      <w:r w:rsidR="00205B16" w:rsidRPr="00782D7B">
        <w:rPr>
          <w:rFonts w:ascii="Arial" w:hAnsi="Arial" w:cs="Arial"/>
          <w:sz w:val="24"/>
          <w:szCs w:val="24"/>
        </w:rPr>
        <w:t>preparation</w:t>
      </w:r>
      <w:r w:rsidR="007A5403" w:rsidRPr="00782D7B">
        <w:rPr>
          <w:rFonts w:ascii="Arial" w:hAnsi="Arial" w:cs="Arial"/>
          <w:sz w:val="24"/>
          <w:szCs w:val="24"/>
        </w:rPr>
        <w:t xml:space="preserve"> (Schramm and Dudel, 1997).</w:t>
      </w:r>
      <w:r w:rsidR="005A2C7D" w:rsidRPr="00782D7B">
        <w:rPr>
          <w:rFonts w:ascii="Arial" w:hAnsi="Arial" w:cs="Arial"/>
          <w:sz w:val="24"/>
          <w:szCs w:val="24"/>
        </w:rPr>
        <w:tab/>
      </w:r>
      <w:r w:rsidR="0050143E" w:rsidRPr="00782D7B">
        <w:rPr>
          <w:rFonts w:ascii="Arial" w:hAnsi="Arial" w:cs="Arial"/>
          <w:sz w:val="24"/>
          <w:szCs w:val="24"/>
        </w:rPr>
        <w:t>Th</w:t>
      </w:r>
      <w:r w:rsidR="005A2C7D" w:rsidRPr="00782D7B">
        <w:rPr>
          <w:rFonts w:ascii="Arial" w:hAnsi="Arial" w:cs="Arial"/>
          <w:sz w:val="24"/>
          <w:szCs w:val="24"/>
        </w:rPr>
        <w:t>e</w:t>
      </w:r>
      <w:r w:rsidR="0050143E" w:rsidRPr="00782D7B">
        <w:rPr>
          <w:rFonts w:ascii="Arial" w:hAnsi="Arial" w:cs="Arial"/>
          <w:sz w:val="24"/>
          <w:szCs w:val="24"/>
        </w:rPr>
        <w:t xml:space="preserve"> </w:t>
      </w:r>
      <w:r w:rsidR="00E73944" w:rsidRPr="00782D7B">
        <w:rPr>
          <w:rFonts w:ascii="Arial" w:hAnsi="Arial" w:cs="Arial"/>
          <w:sz w:val="24"/>
          <w:szCs w:val="24"/>
        </w:rPr>
        <w:t xml:space="preserve">earlier observation of the </w:t>
      </w:r>
      <w:r w:rsidR="0050143E" w:rsidRPr="00782D7B">
        <w:rPr>
          <w:rFonts w:ascii="Arial" w:hAnsi="Arial" w:cs="Arial"/>
          <w:sz w:val="24"/>
          <w:szCs w:val="24"/>
        </w:rPr>
        <w:t>rapid reduction in the EPSP by kainate</w:t>
      </w:r>
      <w:r w:rsidR="005A2C7D" w:rsidRPr="00782D7B">
        <w:rPr>
          <w:rFonts w:ascii="Arial" w:hAnsi="Arial" w:cs="Arial"/>
          <w:sz w:val="24"/>
          <w:szCs w:val="24"/>
        </w:rPr>
        <w:t xml:space="preserve"> at the </w:t>
      </w:r>
      <w:r w:rsidR="005A2C7D" w:rsidRPr="00782D7B">
        <w:rPr>
          <w:rFonts w:ascii="Arial" w:hAnsi="Arial" w:cs="Arial"/>
          <w:i/>
          <w:sz w:val="24"/>
          <w:szCs w:val="24"/>
        </w:rPr>
        <w:t>Drosophila</w:t>
      </w:r>
      <w:r w:rsidR="005A2C7D" w:rsidRPr="00782D7B">
        <w:rPr>
          <w:rFonts w:ascii="Arial" w:hAnsi="Arial" w:cs="Arial"/>
          <w:sz w:val="24"/>
          <w:szCs w:val="24"/>
        </w:rPr>
        <w:t xml:space="preserve"> NMJ </w:t>
      </w:r>
      <w:r w:rsidR="0050143E" w:rsidRPr="00782D7B">
        <w:rPr>
          <w:rFonts w:ascii="Arial" w:hAnsi="Arial" w:cs="Arial"/>
          <w:sz w:val="24"/>
          <w:szCs w:val="24"/>
        </w:rPr>
        <w:t xml:space="preserve">is most likely due to one or both of the following factors: (1) antagonist action on the postsynaptic glutamate receptors; (2) </w:t>
      </w:r>
      <w:r w:rsidR="00D65B65">
        <w:rPr>
          <w:rFonts w:ascii="ArialMT" w:hAnsi="ArialMT" w:cs="ArialMT"/>
          <w:sz w:val="24"/>
        </w:rPr>
        <w:t>a reduction in the number</w:t>
      </w:r>
      <w:r w:rsidR="00D65B65" w:rsidRPr="00782D7B">
        <w:rPr>
          <w:rFonts w:ascii="Arial" w:hAnsi="Arial" w:cs="Arial"/>
          <w:sz w:val="24"/>
          <w:szCs w:val="24"/>
        </w:rPr>
        <w:t xml:space="preserve"> </w:t>
      </w:r>
      <w:r w:rsidR="0050143E" w:rsidRPr="00782D7B">
        <w:rPr>
          <w:rFonts w:ascii="Arial" w:hAnsi="Arial" w:cs="Arial"/>
          <w:sz w:val="24"/>
          <w:szCs w:val="24"/>
        </w:rPr>
        <w:t xml:space="preserve">of presynaptic vesicular fusion event. Direct blocking action on postsynaptic receptors is a possibility for kainate as many known agonists can be antagonists for subtypes </w:t>
      </w:r>
      <w:r w:rsidR="00E73944" w:rsidRPr="00782D7B">
        <w:rPr>
          <w:rFonts w:ascii="Arial" w:hAnsi="Arial" w:cs="Arial"/>
          <w:sz w:val="24"/>
          <w:szCs w:val="24"/>
        </w:rPr>
        <w:t>within</w:t>
      </w:r>
      <w:r w:rsidR="0050143E" w:rsidRPr="00782D7B">
        <w:rPr>
          <w:rFonts w:ascii="Arial" w:hAnsi="Arial" w:cs="Arial"/>
          <w:sz w:val="24"/>
          <w:szCs w:val="24"/>
        </w:rPr>
        <w:t xml:space="preserve"> a receptor family</w:t>
      </w:r>
      <w:r w:rsidR="004838D6" w:rsidRPr="00782D7B">
        <w:rPr>
          <w:rFonts w:ascii="Arial" w:hAnsi="Arial" w:cs="Arial"/>
          <w:sz w:val="24"/>
          <w:szCs w:val="24"/>
        </w:rPr>
        <w:t xml:space="preserve"> (Chang and Weiss, 2002; </w:t>
      </w:r>
      <w:r w:rsidR="00324861" w:rsidRPr="00782D7B">
        <w:rPr>
          <w:rFonts w:ascii="Arial" w:hAnsi="Arial" w:cs="Arial"/>
          <w:sz w:val="24"/>
          <w:szCs w:val="24"/>
        </w:rPr>
        <w:t xml:space="preserve">Eberle et al., 2001; </w:t>
      </w:r>
      <w:r w:rsidR="004838D6" w:rsidRPr="00782D7B">
        <w:rPr>
          <w:rFonts w:ascii="Arial" w:hAnsi="Arial" w:cs="Arial"/>
          <w:sz w:val="24"/>
          <w:szCs w:val="24"/>
        </w:rPr>
        <w:t>Hruby et al., 2003)</w:t>
      </w:r>
      <w:r w:rsidR="0050143E" w:rsidRPr="00782D7B">
        <w:rPr>
          <w:rFonts w:ascii="Arial" w:hAnsi="Arial" w:cs="Arial"/>
          <w:sz w:val="24"/>
          <w:szCs w:val="24"/>
        </w:rPr>
        <w:t>. This is likely</w:t>
      </w:r>
      <w:r w:rsidR="00D65B65">
        <w:rPr>
          <w:rFonts w:ascii="Arial" w:hAnsi="Arial" w:cs="Arial"/>
          <w:sz w:val="24"/>
          <w:szCs w:val="24"/>
        </w:rPr>
        <w:t>,</w:t>
      </w:r>
      <w:r w:rsidR="0050143E" w:rsidRPr="00782D7B">
        <w:rPr>
          <w:rFonts w:ascii="Arial" w:hAnsi="Arial" w:cs="Arial"/>
          <w:sz w:val="24"/>
          <w:szCs w:val="24"/>
        </w:rPr>
        <w:t xml:space="preserve"> as a part of the extracellular receptor domains for glutamate receptors must be similar in order to bind glutamate</w:t>
      </w:r>
      <w:r w:rsidR="00E73944" w:rsidRPr="00782D7B">
        <w:rPr>
          <w:rFonts w:ascii="Arial" w:hAnsi="Arial" w:cs="Arial"/>
          <w:sz w:val="24"/>
          <w:szCs w:val="24"/>
        </w:rPr>
        <w:t>. However</w:t>
      </w:r>
      <w:r w:rsidR="00205B16" w:rsidRPr="00782D7B">
        <w:rPr>
          <w:rFonts w:ascii="Arial" w:hAnsi="Arial" w:cs="Arial"/>
          <w:sz w:val="24"/>
          <w:szCs w:val="24"/>
        </w:rPr>
        <w:t>,</w:t>
      </w:r>
      <w:r w:rsidR="00E73944" w:rsidRPr="00782D7B">
        <w:rPr>
          <w:rFonts w:ascii="Arial" w:hAnsi="Arial" w:cs="Arial"/>
          <w:sz w:val="24"/>
          <w:szCs w:val="24"/>
        </w:rPr>
        <w:t xml:space="preserve"> at the </w:t>
      </w:r>
      <w:r w:rsidR="00073283" w:rsidRPr="00782D7B">
        <w:rPr>
          <w:rFonts w:ascii="Arial" w:hAnsi="Arial" w:cs="Arial"/>
          <w:sz w:val="24"/>
          <w:szCs w:val="24"/>
        </w:rPr>
        <w:t>3</w:t>
      </w:r>
      <w:r w:rsidR="00073283" w:rsidRPr="00782D7B">
        <w:rPr>
          <w:rFonts w:ascii="Arial" w:hAnsi="Arial" w:cs="Arial"/>
          <w:sz w:val="24"/>
          <w:szCs w:val="24"/>
          <w:vertAlign w:val="superscript"/>
        </w:rPr>
        <w:t>rd</w:t>
      </w:r>
      <w:r w:rsidR="00073283" w:rsidRPr="00782D7B">
        <w:rPr>
          <w:rFonts w:ascii="Arial" w:hAnsi="Arial" w:cs="Arial"/>
          <w:sz w:val="24"/>
          <w:szCs w:val="24"/>
        </w:rPr>
        <w:t xml:space="preserve"> instar </w:t>
      </w:r>
      <w:r w:rsidR="00E73944" w:rsidRPr="00782D7B">
        <w:rPr>
          <w:rFonts w:ascii="Arial" w:hAnsi="Arial" w:cs="Arial"/>
          <w:i/>
          <w:sz w:val="24"/>
          <w:szCs w:val="24"/>
        </w:rPr>
        <w:t>Drosophila</w:t>
      </w:r>
      <w:r w:rsidR="00E73944" w:rsidRPr="00782D7B">
        <w:rPr>
          <w:rFonts w:ascii="Arial" w:hAnsi="Arial" w:cs="Arial"/>
          <w:sz w:val="24"/>
          <w:szCs w:val="24"/>
        </w:rPr>
        <w:t xml:space="preserve"> NMJ</w:t>
      </w:r>
      <w:r w:rsidR="0050143E" w:rsidRPr="00782D7B">
        <w:rPr>
          <w:rFonts w:ascii="Arial" w:hAnsi="Arial" w:cs="Arial"/>
          <w:sz w:val="24"/>
          <w:szCs w:val="24"/>
        </w:rPr>
        <w:t xml:space="preserve"> the bindin</w:t>
      </w:r>
      <w:r w:rsidR="007A45F2" w:rsidRPr="00782D7B">
        <w:rPr>
          <w:rFonts w:ascii="Arial" w:hAnsi="Arial" w:cs="Arial"/>
          <w:sz w:val="24"/>
          <w:szCs w:val="24"/>
        </w:rPr>
        <w:t>g of kainate does not transduce</w:t>
      </w:r>
      <w:r w:rsidR="0050143E" w:rsidRPr="00782D7B">
        <w:rPr>
          <w:rFonts w:ascii="Arial" w:hAnsi="Arial" w:cs="Arial"/>
          <w:sz w:val="24"/>
          <w:szCs w:val="24"/>
        </w:rPr>
        <w:t xml:space="preserve"> activation of the glutamate ligand gated ion channels </w:t>
      </w:r>
      <w:r w:rsidR="004838D6" w:rsidRPr="00782D7B">
        <w:rPr>
          <w:rFonts w:ascii="Arial" w:hAnsi="Arial" w:cs="Arial"/>
          <w:sz w:val="24"/>
          <w:szCs w:val="24"/>
        </w:rPr>
        <w:t>(Bhatt and Cooper, 2005; Dudel et al. 1992; Heckmann and Dudel, 1997).</w:t>
      </w:r>
      <w:r w:rsidR="005A2C7D" w:rsidRPr="00782D7B">
        <w:rPr>
          <w:rFonts w:ascii="Arial" w:hAnsi="Arial" w:cs="Arial"/>
          <w:sz w:val="24"/>
          <w:szCs w:val="24"/>
        </w:rPr>
        <w:t xml:space="preserve"> </w:t>
      </w:r>
      <w:r w:rsidR="0050143E" w:rsidRPr="00782D7B">
        <w:rPr>
          <w:rFonts w:ascii="Arial" w:hAnsi="Arial" w:cs="Arial"/>
          <w:sz w:val="24"/>
          <w:szCs w:val="24"/>
        </w:rPr>
        <w:t xml:space="preserve">There is also </w:t>
      </w:r>
      <w:r w:rsidR="00124EDE" w:rsidRPr="00782D7B">
        <w:rPr>
          <w:rFonts w:ascii="Arial" w:hAnsi="Arial" w:cs="Arial"/>
          <w:sz w:val="24"/>
          <w:szCs w:val="24"/>
        </w:rPr>
        <w:t>precedence</w:t>
      </w:r>
      <w:r w:rsidR="0050143E" w:rsidRPr="00782D7B">
        <w:rPr>
          <w:rFonts w:ascii="Arial" w:hAnsi="Arial" w:cs="Arial"/>
          <w:sz w:val="24"/>
          <w:szCs w:val="24"/>
        </w:rPr>
        <w:t xml:space="preserve"> for kainate, a potent agonist for some vertebrate metabotropic receptors, to act presynaptically in reducing evoked transmitter release via autoreceptor</w:t>
      </w:r>
      <w:r w:rsidR="00A1009A" w:rsidRPr="00782D7B">
        <w:rPr>
          <w:rFonts w:ascii="Arial" w:hAnsi="Arial" w:cs="Arial"/>
          <w:sz w:val="24"/>
          <w:szCs w:val="24"/>
        </w:rPr>
        <w:t>s on the presynaptic terminals</w:t>
      </w:r>
      <w:r w:rsidR="004838D6" w:rsidRPr="00782D7B">
        <w:rPr>
          <w:rFonts w:ascii="Arial" w:hAnsi="Arial" w:cs="Arial"/>
          <w:sz w:val="24"/>
          <w:szCs w:val="24"/>
        </w:rPr>
        <w:t xml:space="preserve"> (Chittajallu et al., 1996; Frerking et al., 2001; Kamiya and Ozawa, 1998; McLarnon and Quastel, 1988; Park et al., 2006).</w:t>
      </w:r>
      <w:r w:rsidR="00A1009A" w:rsidRPr="00782D7B">
        <w:rPr>
          <w:rFonts w:ascii="Arial" w:hAnsi="Arial" w:cs="Arial"/>
          <w:sz w:val="24"/>
          <w:szCs w:val="24"/>
        </w:rPr>
        <w:t xml:space="preserve"> Kainate is known to bind metabotropic glutamate receptors </w:t>
      </w:r>
      <w:r w:rsidR="004838D6" w:rsidRPr="00782D7B">
        <w:rPr>
          <w:rFonts w:ascii="Arial" w:hAnsi="Arial" w:cs="Arial"/>
          <w:sz w:val="24"/>
          <w:szCs w:val="24"/>
        </w:rPr>
        <w:t xml:space="preserve">(Zhang </w:t>
      </w:r>
      <w:r w:rsidR="004838D6" w:rsidRPr="00782D7B">
        <w:rPr>
          <w:rFonts w:ascii="Arial" w:hAnsi="Arial" w:cs="Arial"/>
          <w:iCs/>
          <w:sz w:val="24"/>
          <w:szCs w:val="24"/>
        </w:rPr>
        <w:t>et al</w:t>
      </w:r>
      <w:r w:rsidR="004838D6" w:rsidRPr="00782D7B">
        <w:rPr>
          <w:rFonts w:ascii="Arial" w:hAnsi="Arial" w:cs="Arial"/>
          <w:sz w:val="24"/>
          <w:szCs w:val="24"/>
        </w:rPr>
        <w:t xml:space="preserve">., 1999) </w:t>
      </w:r>
      <w:r w:rsidR="00A1009A" w:rsidRPr="00782D7B">
        <w:rPr>
          <w:rFonts w:ascii="Arial" w:hAnsi="Arial" w:cs="Arial"/>
          <w:sz w:val="24"/>
          <w:szCs w:val="24"/>
        </w:rPr>
        <w:t>and have a presynaptic action in altering transmitter release from presynaptic terminals in vertebrates</w:t>
      </w:r>
      <w:r w:rsidR="004838D6" w:rsidRPr="00782D7B">
        <w:rPr>
          <w:rFonts w:ascii="Arial" w:hAnsi="Arial" w:cs="Arial"/>
          <w:sz w:val="24"/>
          <w:szCs w:val="24"/>
        </w:rPr>
        <w:t xml:space="preserve"> (Kamiya </w:t>
      </w:r>
      <w:r w:rsidR="00324861" w:rsidRPr="00782D7B">
        <w:rPr>
          <w:rFonts w:ascii="Arial" w:hAnsi="Arial" w:cs="Arial"/>
          <w:sz w:val="24"/>
          <w:szCs w:val="24"/>
        </w:rPr>
        <w:t>and</w:t>
      </w:r>
      <w:r w:rsidR="004838D6" w:rsidRPr="00782D7B">
        <w:rPr>
          <w:rFonts w:ascii="Arial" w:hAnsi="Arial" w:cs="Arial"/>
          <w:sz w:val="24"/>
          <w:szCs w:val="24"/>
        </w:rPr>
        <w:t xml:space="preserve"> </w:t>
      </w:r>
      <w:r w:rsidR="004838D6" w:rsidRPr="00782D7B">
        <w:rPr>
          <w:rFonts w:ascii="Arial" w:hAnsi="Arial" w:cs="Arial"/>
          <w:sz w:val="24"/>
          <w:szCs w:val="24"/>
        </w:rPr>
        <w:lastRenderedPageBreak/>
        <w:t xml:space="preserve">Ozawa, 2000; Kamiya </w:t>
      </w:r>
      <w:r w:rsidR="004838D6" w:rsidRPr="00782D7B">
        <w:rPr>
          <w:rFonts w:ascii="Arial" w:hAnsi="Arial" w:cs="Arial"/>
          <w:iCs/>
          <w:sz w:val="24"/>
          <w:szCs w:val="24"/>
        </w:rPr>
        <w:t>et al</w:t>
      </w:r>
      <w:r w:rsidR="004838D6" w:rsidRPr="00782D7B">
        <w:rPr>
          <w:rFonts w:ascii="Arial" w:hAnsi="Arial" w:cs="Arial"/>
          <w:sz w:val="24"/>
          <w:szCs w:val="24"/>
        </w:rPr>
        <w:t>., 2002; Park et al., 2006). In rats, kainate and the kainate receptor agonist ATPA</w:t>
      </w:r>
      <w:r w:rsidR="00D65B65">
        <w:rPr>
          <w:rFonts w:ascii="Arial" w:hAnsi="Arial" w:cs="Arial"/>
          <w:sz w:val="24"/>
          <w:szCs w:val="24"/>
        </w:rPr>
        <w:t>,</w:t>
      </w:r>
      <w:r w:rsidR="004838D6" w:rsidRPr="00782D7B">
        <w:rPr>
          <w:rFonts w:ascii="Arial" w:hAnsi="Arial" w:cs="Arial"/>
          <w:sz w:val="24"/>
          <w:szCs w:val="24"/>
        </w:rPr>
        <w:t xml:space="preserve"> act presynaptically in reducing glutamate release from primary sensory neurons (Kerchner et al., 2001). However, in the rat neocortex, kainate receptors have been demonstrated to have both facilitatory as well as inhibi</w:t>
      </w:r>
      <w:r w:rsidR="00D65B65">
        <w:rPr>
          <w:rFonts w:ascii="Arial" w:hAnsi="Arial" w:cs="Arial"/>
          <w:sz w:val="24"/>
          <w:szCs w:val="24"/>
        </w:rPr>
        <w:t>tory actions due to dose depende</w:t>
      </w:r>
      <w:r w:rsidR="004838D6" w:rsidRPr="00782D7B">
        <w:rPr>
          <w:rFonts w:ascii="Arial" w:hAnsi="Arial" w:cs="Arial"/>
          <w:sz w:val="24"/>
          <w:szCs w:val="24"/>
        </w:rPr>
        <w:t>nt effect. The mechanism proposed for the biphasic effect is that low doses excite the presynaptic terminal while high doses have an inhibitory effect on the postsynaptic target (Campbell et al., 2007). Thus, depending on the type of preparation and dosage, kainate might excite or inhibit the presynaptic terminal.</w:t>
      </w:r>
      <w:r w:rsidR="00A1009A" w:rsidRPr="00782D7B">
        <w:rPr>
          <w:rFonts w:ascii="Arial" w:hAnsi="Arial" w:cs="Arial"/>
          <w:sz w:val="24"/>
          <w:szCs w:val="24"/>
        </w:rPr>
        <w:t xml:space="preserve"> The evidence suggest</w:t>
      </w:r>
      <w:r w:rsidR="00124EDE" w:rsidRPr="00782D7B">
        <w:rPr>
          <w:rFonts w:ascii="Arial" w:hAnsi="Arial" w:cs="Arial"/>
          <w:sz w:val="24"/>
          <w:szCs w:val="24"/>
        </w:rPr>
        <w:t>s a mechanism of action via kai</w:t>
      </w:r>
      <w:r w:rsidR="00A1009A" w:rsidRPr="00782D7B">
        <w:rPr>
          <w:rFonts w:ascii="Arial" w:hAnsi="Arial" w:cs="Arial"/>
          <w:sz w:val="24"/>
          <w:szCs w:val="24"/>
        </w:rPr>
        <w:t>n</w:t>
      </w:r>
      <w:r w:rsidR="00124EDE" w:rsidRPr="00782D7B">
        <w:rPr>
          <w:rFonts w:ascii="Arial" w:hAnsi="Arial" w:cs="Arial"/>
          <w:sz w:val="24"/>
          <w:szCs w:val="24"/>
        </w:rPr>
        <w:t>a</w:t>
      </w:r>
      <w:r w:rsidR="00A1009A" w:rsidRPr="00782D7B">
        <w:rPr>
          <w:rFonts w:ascii="Arial" w:hAnsi="Arial" w:cs="Arial"/>
          <w:sz w:val="24"/>
          <w:szCs w:val="24"/>
        </w:rPr>
        <w:t>te-sensitive glutamatergic autoreceptors through a metabotropic action within the presynaptic terminals or by direct action on the presynaptic voltage-gated Ca</w:t>
      </w:r>
      <w:r w:rsidR="00A1009A" w:rsidRPr="00782D7B">
        <w:rPr>
          <w:rFonts w:ascii="Arial" w:hAnsi="Arial" w:cs="Arial"/>
          <w:sz w:val="24"/>
          <w:szCs w:val="24"/>
          <w:vertAlign w:val="superscript"/>
        </w:rPr>
        <w:t>2+</w:t>
      </w:r>
      <w:r w:rsidR="00A1009A" w:rsidRPr="00782D7B">
        <w:rPr>
          <w:rFonts w:ascii="Arial" w:hAnsi="Arial" w:cs="Arial"/>
          <w:sz w:val="24"/>
          <w:szCs w:val="24"/>
        </w:rPr>
        <w:t xml:space="preserve"> channels</w:t>
      </w:r>
      <w:r w:rsidR="00881BAF" w:rsidRPr="00782D7B">
        <w:rPr>
          <w:rFonts w:ascii="Arial" w:hAnsi="Arial" w:cs="Arial"/>
          <w:sz w:val="24"/>
          <w:szCs w:val="24"/>
        </w:rPr>
        <w:t xml:space="preserve"> (see review</w:t>
      </w:r>
      <w:r w:rsidR="001F2C0D" w:rsidRPr="00782D7B">
        <w:rPr>
          <w:rFonts w:ascii="Arial" w:hAnsi="Arial" w:cs="Arial"/>
          <w:sz w:val="24"/>
          <w:szCs w:val="24"/>
        </w:rPr>
        <w:t>s</w:t>
      </w:r>
      <w:r w:rsidR="00881BAF" w:rsidRPr="00782D7B">
        <w:rPr>
          <w:rFonts w:ascii="Arial" w:hAnsi="Arial" w:cs="Arial"/>
          <w:sz w:val="24"/>
          <w:szCs w:val="24"/>
        </w:rPr>
        <w:t xml:space="preserve"> Lerma, 2003</w:t>
      </w:r>
      <w:r w:rsidR="001F2C0D" w:rsidRPr="00782D7B">
        <w:rPr>
          <w:rFonts w:ascii="Arial" w:hAnsi="Arial" w:cs="Arial"/>
          <w:sz w:val="24"/>
          <w:szCs w:val="24"/>
        </w:rPr>
        <w:t xml:space="preserve"> and Nicoll et al., 2000)</w:t>
      </w:r>
      <w:r w:rsidR="00A1009A" w:rsidRPr="00782D7B">
        <w:rPr>
          <w:rFonts w:ascii="Arial" w:hAnsi="Arial" w:cs="Arial"/>
          <w:sz w:val="24"/>
          <w:szCs w:val="24"/>
        </w:rPr>
        <w:t xml:space="preserve">. </w:t>
      </w:r>
      <w:r w:rsidR="006F6369" w:rsidRPr="00782D7B">
        <w:rPr>
          <w:rFonts w:ascii="Arial" w:hAnsi="Arial" w:cs="Arial"/>
          <w:sz w:val="24"/>
          <w:szCs w:val="24"/>
        </w:rPr>
        <w:t>In addition,</w:t>
      </w:r>
      <w:r w:rsidR="006F1FED" w:rsidRPr="00782D7B">
        <w:rPr>
          <w:rFonts w:ascii="Arial" w:hAnsi="Arial" w:cs="Arial"/>
          <w:sz w:val="24"/>
          <w:szCs w:val="24"/>
        </w:rPr>
        <w:t xml:space="preserve"> the actions of </w:t>
      </w:r>
      <w:r w:rsidR="006F6369" w:rsidRPr="00782D7B">
        <w:rPr>
          <w:rFonts w:ascii="Arial" w:hAnsi="Arial" w:cs="Arial"/>
          <w:sz w:val="24"/>
          <w:szCs w:val="24"/>
        </w:rPr>
        <w:t>glutamate</w:t>
      </w:r>
      <w:r w:rsidR="006F1FED" w:rsidRPr="00782D7B">
        <w:rPr>
          <w:rFonts w:ascii="Arial" w:hAnsi="Arial" w:cs="Arial"/>
          <w:sz w:val="24"/>
          <w:szCs w:val="24"/>
        </w:rPr>
        <w:t xml:space="preserve"> </w:t>
      </w:r>
      <w:r w:rsidR="006F6369" w:rsidRPr="00782D7B">
        <w:rPr>
          <w:rFonts w:ascii="Arial" w:hAnsi="Arial" w:cs="Arial"/>
          <w:sz w:val="24"/>
          <w:szCs w:val="24"/>
        </w:rPr>
        <w:t xml:space="preserve">at newly hatched </w:t>
      </w:r>
      <w:r w:rsidR="006F6369" w:rsidRPr="00782D7B">
        <w:rPr>
          <w:rFonts w:ascii="Arial" w:hAnsi="Arial" w:cs="Arial"/>
          <w:i/>
          <w:sz w:val="24"/>
          <w:szCs w:val="24"/>
        </w:rPr>
        <w:t>Drosophila</w:t>
      </w:r>
      <w:r w:rsidR="006F6369" w:rsidRPr="00782D7B">
        <w:rPr>
          <w:rFonts w:ascii="Arial" w:hAnsi="Arial" w:cs="Arial"/>
          <w:sz w:val="24"/>
          <w:szCs w:val="24"/>
        </w:rPr>
        <w:t xml:space="preserve"> larvae revealed presynaptic actions in enhancing the occurrences of spontaneous events with</w:t>
      </w:r>
      <w:r w:rsidR="00FF20F6" w:rsidRPr="00782D7B">
        <w:rPr>
          <w:rFonts w:ascii="Arial" w:hAnsi="Arial" w:cs="Arial"/>
          <w:sz w:val="24"/>
          <w:szCs w:val="24"/>
        </w:rPr>
        <w:t>out</w:t>
      </w:r>
      <w:r w:rsidR="006F6369" w:rsidRPr="00782D7B">
        <w:rPr>
          <w:rFonts w:ascii="Arial" w:hAnsi="Arial" w:cs="Arial"/>
          <w:sz w:val="24"/>
          <w:szCs w:val="24"/>
        </w:rPr>
        <w:t xml:space="preserve"> any alteration in the amplitude of the quantal currents (Zhang et al., 1999). </w:t>
      </w:r>
      <w:r w:rsidR="00D65B65">
        <w:rPr>
          <w:rFonts w:ascii="ArialMT" w:hAnsi="ArialMT" w:cs="ArialMT"/>
          <w:sz w:val="24"/>
        </w:rPr>
        <w:t xml:space="preserve">The mechanism suggested for this phenomenon was that presynaptic autoreceptors </w:t>
      </w:r>
      <w:r w:rsidR="00E50077">
        <w:rPr>
          <w:rFonts w:ascii="ArialMT" w:hAnsi="ArialMT" w:cs="ArialMT"/>
          <w:sz w:val="24"/>
        </w:rPr>
        <w:t>are</w:t>
      </w:r>
      <w:r w:rsidR="00D65B65">
        <w:rPr>
          <w:rFonts w:ascii="ArialMT" w:hAnsi="ArialMT" w:cs="ArialMT"/>
          <w:sz w:val="24"/>
        </w:rPr>
        <w:t xml:space="preserve"> present which enhance</w:t>
      </w:r>
      <w:r w:rsidR="006F6369" w:rsidRPr="00782D7B">
        <w:rPr>
          <w:rFonts w:ascii="Arial" w:hAnsi="Arial" w:cs="Arial"/>
          <w:sz w:val="24"/>
          <w:szCs w:val="24"/>
        </w:rPr>
        <w:t xml:space="preserve"> synaptic transmission. In addition, the pharmacological agonist (1S,</w:t>
      </w:r>
      <w:r w:rsidR="008E4CBF" w:rsidRPr="00782D7B">
        <w:rPr>
          <w:rFonts w:ascii="Arial" w:hAnsi="Arial" w:cs="Arial"/>
          <w:sz w:val="24"/>
          <w:szCs w:val="24"/>
        </w:rPr>
        <w:t xml:space="preserve"> </w:t>
      </w:r>
      <w:r w:rsidR="006F6369" w:rsidRPr="00782D7B">
        <w:rPr>
          <w:rFonts w:ascii="Arial" w:hAnsi="Arial" w:cs="Arial"/>
          <w:sz w:val="24"/>
          <w:szCs w:val="24"/>
        </w:rPr>
        <w:t>3S)-ACPD for mGluR mimicked the effect of glutamate (Zhang et al., 1999).</w:t>
      </w:r>
      <w:r w:rsidR="00FF20F6" w:rsidRPr="00782D7B">
        <w:rPr>
          <w:rFonts w:ascii="Arial" w:hAnsi="Arial" w:cs="Arial"/>
          <w:sz w:val="24"/>
          <w:szCs w:val="24"/>
        </w:rPr>
        <w:t xml:space="preserve"> This helps to establish that autoreceptors at this NMJ are likely in the 3</w:t>
      </w:r>
      <w:r w:rsidR="00FF20F6" w:rsidRPr="00782D7B">
        <w:rPr>
          <w:rFonts w:ascii="Arial" w:hAnsi="Arial" w:cs="Arial"/>
          <w:sz w:val="24"/>
          <w:szCs w:val="24"/>
          <w:vertAlign w:val="superscript"/>
        </w:rPr>
        <w:t>rd</w:t>
      </w:r>
      <w:r w:rsidR="00FF20F6" w:rsidRPr="00782D7B">
        <w:rPr>
          <w:rFonts w:ascii="Arial" w:hAnsi="Arial" w:cs="Arial"/>
          <w:sz w:val="24"/>
          <w:szCs w:val="24"/>
        </w:rPr>
        <w:t xml:space="preserve"> instar and that there may</w:t>
      </w:r>
      <w:r w:rsidR="00D65B65">
        <w:rPr>
          <w:rFonts w:ascii="Arial" w:hAnsi="Arial" w:cs="Arial"/>
          <w:sz w:val="24"/>
          <w:szCs w:val="24"/>
        </w:rPr>
        <w:t xml:space="preserve"> </w:t>
      </w:r>
      <w:r w:rsidR="00FF20F6" w:rsidRPr="00782D7B">
        <w:rPr>
          <w:rFonts w:ascii="Arial" w:hAnsi="Arial" w:cs="Arial"/>
          <w:sz w:val="24"/>
          <w:szCs w:val="24"/>
        </w:rPr>
        <w:t>be developmental differentiation in presynaptic receptor subtypes to account for the depressing action of kainate</w:t>
      </w:r>
      <w:r w:rsidR="00B1640B" w:rsidRPr="00782D7B">
        <w:rPr>
          <w:rFonts w:ascii="Arial" w:hAnsi="Arial" w:cs="Arial"/>
          <w:sz w:val="24"/>
          <w:szCs w:val="24"/>
        </w:rPr>
        <w:t xml:space="preserve"> in the 3</w:t>
      </w:r>
      <w:r w:rsidR="00B1640B" w:rsidRPr="00782D7B">
        <w:rPr>
          <w:rFonts w:ascii="Arial" w:hAnsi="Arial" w:cs="Arial"/>
          <w:sz w:val="24"/>
          <w:szCs w:val="24"/>
          <w:vertAlign w:val="superscript"/>
        </w:rPr>
        <w:t>rd</w:t>
      </w:r>
      <w:r w:rsidR="00B1640B" w:rsidRPr="00782D7B">
        <w:rPr>
          <w:rFonts w:ascii="Arial" w:hAnsi="Arial" w:cs="Arial"/>
          <w:sz w:val="24"/>
          <w:szCs w:val="24"/>
        </w:rPr>
        <w:t xml:space="preserve"> instar.</w:t>
      </w:r>
    </w:p>
    <w:p w:rsidR="00E73944" w:rsidRPr="00782D7B" w:rsidRDefault="00E73944" w:rsidP="008E4CBF">
      <w:pPr>
        <w:spacing w:after="0" w:line="480" w:lineRule="auto"/>
        <w:jc w:val="both"/>
        <w:rPr>
          <w:rFonts w:ascii="Arial" w:hAnsi="Arial" w:cs="Arial"/>
          <w:bCs/>
          <w:sz w:val="24"/>
          <w:szCs w:val="24"/>
        </w:rPr>
      </w:pPr>
      <w:r w:rsidRPr="00782D7B">
        <w:rPr>
          <w:rFonts w:ascii="Arial" w:hAnsi="Arial" w:cs="Arial"/>
          <w:sz w:val="24"/>
          <w:szCs w:val="24"/>
        </w:rPr>
        <w:tab/>
        <w:t>T</w:t>
      </w:r>
      <w:r w:rsidR="00A1009A" w:rsidRPr="00782D7B">
        <w:rPr>
          <w:rFonts w:ascii="Arial" w:hAnsi="Arial" w:cs="Arial"/>
          <w:sz w:val="24"/>
          <w:szCs w:val="24"/>
        </w:rPr>
        <w:t xml:space="preserve">he purpose of this study is to test for these possibilities. </w:t>
      </w:r>
      <w:r w:rsidR="00376513" w:rsidRPr="00782D7B">
        <w:rPr>
          <w:rFonts w:ascii="Arial" w:hAnsi="Arial" w:cs="Arial"/>
          <w:sz w:val="24"/>
          <w:szCs w:val="24"/>
        </w:rPr>
        <w:t>We</w:t>
      </w:r>
      <w:r w:rsidR="00124EDE" w:rsidRPr="00782D7B">
        <w:rPr>
          <w:rFonts w:ascii="Arial" w:hAnsi="Arial" w:cs="Arial"/>
          <w:sz w:val="24"/>
          <w:szCs w:val="24"/>
        </w:rPr>
        <w:t xml:space="preserve"> </w:t>
      </w:r>
      <w:r w:rsidR="00A1009A" w:rsidRPr="00782D7B">
        <w:rPr>
          <w:rFonts w:ascii="Arial" w:hAnsi="Arial" w:cs="Arial"/>
          <w:sz w:val="24"/>
          <w:szCs w:val="24"/>
        </w:rPr>
        <w:t>have approached this by accessing the characteristics of single quanta (i.e.,</w:t>
      </w:r>
      <w:r w:rsidR="007F7BAC" w:rsidRPr="00782D7B">
        <w:rPr>
          <w:rFonts w:ascii="Arial" w:hAnsi="Arial" w:cs="Arial"/>
          <w:sz w:val="24"/>
          <w:szCs w:val="24"/>
        </w:rPr>
        <w:t xml:space="preserve"> </w:t>
      </w:r>
      <w:r w:rsidR="00A1009A" w:rsidRPr="00782D7B">
        <w:rPr>
          <w:rFonts w:ascii="Arial" w:hAnsi="Arial" w:cs="Arial"/>
          <w:sz w:val="24"/>
          <w:szCs w:val="24"/>
        </w:rPr>
        <w:t xml:space="preserve">peak amplitude) and </w:t>
      </w:r>
      <w:r w:rsidR="00A1009A" w:rsidRPr="00782D7B">
        <w:rPr>
          <w:rFonts w:ascii="Arial" w:hAnsi="Arial" w:cs="Arial"/>
          <w:sz w:val="24"/>
          <w:szCs w:val="24"/>
        </w:rPr>
        <w:lastRenderedPageBreak/>
        <w:t>frequency of spontaneous events with intracellular measures of miniature EPSPs (mEPSPs) from the whole muscle.</w:t>
      </w:r>
      <w:r w:rsidR="00124EDE" w:rsidRPr="00782D7B">
        <w:rPr>
          <w:rFonts w:ascii="Arial" w:hAnsi="Arial" w:cs="Arial"/>
          <w:sz w:val="24"/>
          <w:szCs w:val="24"/>
        </w:rPr>
        <w:t xml:space="preserve"> </w:t>
      </w:r>
      <w:r w:rsidR="00376513" w:rsidRPr="00782D7B">
        <w:rPr>
          <w:rFonts w:ascii="Arial" w:hAnsi="Arial" w:cs="Arial"/>
          <w:sz w:val="24"/>
          <w:szCs w:val="24"/>
        </w:rPr>
        <w:t>We</w:t>
      </w:r>
      <w:r w:rsidR="00124EDE" w:rsidRPr="00782D7B">
        <w:rPr>
          <w:rFonts w:ascii="Arial" w:hAnsi="Arial" w:cs="Arial"/>
          <w:sz w:val="24"/>
          <w:szCs w:val="24"/>
        </w:rPr>
        <w:t xml:space="preserve"> also examined further pharmacological profiles of the </w:t>
      </w:r>
      <w:r w:rsidR="00124EDE" w:rsidRPr="00782D7B">
        <w:rPr>
          <w:rFonts w:ascii="Arial" w:hAnsi="Arial" w:cs="Arial"/>
          <w:i/>
          <w:sz w:val="24"/>
          <w:szCs w:val="24"/>
        </w:rPr>
        <w:t>Drosophila</w:t>
      </w:r>
      <w:r w:rsidR="00124EDE" w:rsidRPr="00782D7B">
        <w:rPr>
          <w:rFonts w:ascii="Arial" w:hAnsi="Arial" w:cs="Arial"/>
          <w:sz w:val="24"/>
          <w:szCs w:val="24"/>
        </w:rPr>
        <w:t xml:space="preserve"> NMJ to build knowledge of this model synaptic preparation.</w:t>
      </w:r>
      <w:r w:rsidR="00F9018B" w:rsidRPr="00782D7B">
        <w:rPr>
          <w:rFonts w:ascii="Arial" w:hAnsi="Arial" w:cs="Arial"/>
          <w:sz w:val="24"/>
          <w:szCs w:val="24"/>
        </w:rPr>
        <w:t xml:space="preserve"> </w:t>
      </w:r>
    </w:p>
    <w:p w:rsidR="00E73944" w:rsidRPr="00782D7B" w:rsidRDefault="00E73944" w:rsidP="008E4CBF">
      <w:pPr>
        <w:spacing w:after="0" w:line="480" w:lineRule="auto"/>
        <w:rPr>
          <w:rFonts w:ascii="Arial" w:hAnsi="Arial" w:cs="Arial"/>
          <w:b/>
          <w:bCs/>
          <w:sz w:val="24"/>
          <w:szCs w:val="24"/>
        </w:rPr>
      </w:pPr>
    </w:p>
    <w:p w:rsidR="00F40787" w:rsidRPr="00782D7B" w:rsidRDefault="00373739" w:rsidP="008E4CBF">
      <w:pPr>
        <w:spacing w:after="0" w:line="480" w:lineRule="auto"/>
        <w:rPr>
          <w:rFonts w:ascii="Arial" w:hAnsi="Arial" w:cs="Arial"/>
          <w:b/>
          <w:bCs/>
          <w:sz w:val="24"/>
          <w:szCs w:val="24"/>
        </w:rPr>
      </w:pPr>
      <w:r>
        <w:rPr>
          <w:rFonts w:ascii="Arial" w:hAnsi="Arial" w:cs="Arial"/>
          <w:b/>
          <w:bCs/>
          <w:sz w:val="24"/>
          <w:szCs w:val="24"/>
        </w:rPr>
        <w:t xml:space="preserve">2. </w:t>
      </w:r>
      <w:r w:rsidR="00F40787" w:rsidRPr="00782D7B">
        <w:rPr>
          <w:rFonts w:ascii="Arial" w:hAnsi="Arial" w:cs="Arial"/>
          <w:b/>
          <w:bCs/>
          <w:sz w:val="24"/>
          <w:szCs w:val="24"/>
        </w:rPr>
        <w:t>METHODS</w:t>
      </w:r>
    </w:p>
    <w:p w:rsidR="00F40787" w:rsidRPr="00782D7B" w:rsidRDefault="00373739" w:rsidP="008E4CBF">
      <w:pPr>
        <w:spacing w:after="0" w:line="480" w:lineRule="auto"/>
        <w:rPr>
          <w:rFonts w:ascii="Arial" w:hAnsi="Arial" w:cs="Arial"/>
          <w:b/>
          <w:sz w:val="24"/>
          <w:szCs w:val="24"/>
        </w:rPr>
      </w:pPr>
      <w:r>
        <w:rPr>
          <w:rFonts w:ascii="Arial" w:hAnsi="Arial" w:cs="Arial"/>
          <w:b/>
          <w:sz w:val="24"/>
          <w:szCs w:val="24"/>
        </w:rPr>
        <w:t xml:space="preserve">2.1 </w:t>
      </w:r>
      <w:r w:rsidR="00F40787" w:rsidRPr="00782D7B">
        <w:rPr>
          <w:rFonts w:ascii="Arial" w:hAnsi="Arial" w:cs="Arial"/>
          <w:b/>
          <w:sz w:val="24"/>
          <w:szCs w:val="24"/>
        </w:rPr>
        <w:t>Electrophysiology and staging of flies</w:t>
      </w:r>
    </w:p>
    <w:p w:rsidR="00F40787" w:rsidRPr="00782D7B" w:rsidRDefault="00F40787" w:rsidP="00D65B65">
      <w:pPr>
        <w:spacing w:after="0" w:line="480" w:lineRule="auto"/>
        <w:ind w:firstLine="720"/>
        <w:jc w:val="both"/>
        <w:rPr>
          <w:rFonts w:ascii="Arial" w:hAnsi="Arial" w:cs="Arial"/>
          <w:sz w:val="24"/>
          <w:szCs w:val="24"/>
        </w:rPr>
      </w:pPr>
      <w:r w:rsidRPr="00782D7B">
        <w:rPr>
          <w:rFonts w:ascii="Arial" w:hAnsi="Arial" w:cs="Arial"/>
          <w:sz w:val="24"/>
          <w:szCs w:val="24"/>
        </w:rPr>
        <w:t xml:space="preserve">All the electrophysiology and staging of larvae are routine procedures </w:t>
      </w:r>
      <w:r w:rsidR="00E73944" w:rsidRPr="00782D7B">
        <w:rPr>
          <w:rFonts w:ascii="Arial" w:hAnsi="Arial" w:cs="Arial"/>
          <w:sz w:val="24"/>
          <w:szCs w:val="24"/>
        </w:rPr>
        <w:t>and have been described previously</w:t>
      </w:r>
      <w:r w:rsidRPr="00782D7B">
        <w:rPr>
          <w:rFonts w:ascii="Arial" w:hAnsi="Arial" w:cs="Arial"/>
          <w:sz w:val="24"/>
          <w:szCs w:val="24"/>
        </w:rPr>
        <w:t xml:space="preserve">. </w:t>
      </w:r>
      <w:r w:rsidR="00E73944" w:rsidRPr="00782D7B">
        <w:rPr>
          <w:rFonts w:ascii="Arial" w:hAnsi="Arial" w:cs="Arial"/>
          <w:sz w:val="24"/>
          <w:szCs w:val="24"/>
        </w:rPr>
        <w:t>The</w:t>
      </w:r>
      <w:r w:rsidRPr="00782D7B">
        <w:rPr>
          <w:rFonts w:ascii="Arial" w:hAnsi="Arial" w:cs="Arial"/>
          <w:sz w:val="24"/>
          <w:szCs w:val="24"/>
        </w:rPr>
        <w:t xml:space="preserve"> </w:t>
      </w:r>
      <w:r w:rsidRPr="00782D7B">
        <w:rPr>
          <w:rFonts w:ascii="Arial" w:eastAsia="Arial" w:hAnsi="Arial" w:cs="Arial"/>
          <w:sz w:val="24"/>
          <w:szCs w:val="24"/>
        </w:rPr>
        <w:t xml:space="preserve">dissection technique </w:t>
      </w:r>
      <w:r w:rsidR="00E73944" w:rsidRPr="00782D7B">
        <w:rPr>
          <w:rFonts w:ascii="Arial" w:eastAsia="Arial" w:hAnsi="Arial" w:cs="Arial"/>
          <w:sz w:val="24"/>
          <w:szCs w:val="24"/>
        </w:rPr>
        <w:t>was previously</w:t>
      </w:r>
      <w:r w:rsidRPr="00782D7B">
        <w:rPr>
          <w:rFonts w:ascii="Arial" w:eastAsia="Arial" w:hAnsi="Arial" w:cs="Arial"/>
          <w:sz w:val="24"/>
          <w:szCs w:val="24"/>
        </w:rPr>
        <w:t xml:space="preserve"> reported</w:t>
      </w:r>
      <w:r w:rsidR="00E73944" w:rsidRPr="00782D7B">
        <w:rPr>
          <w:rFonts w:ascii="Arial" w:eastAsia="Arial" w:hAnsi="Arial" w:cs="Arial"/>
          <w:sz w:val="24"/>
          <w:szCs w:val="24"/>
        </w:rPr>
        <w:t xml:space="preserve"> </w:t>
      </w:r>
      <w:r w:rsidRPr="00782D7B">
        <w:rPr>
          <w:rFonts w:ascii="Arial" w:eastAsia="Arial" w:hAnsi="Arial" w:cs="Arial"/>
          <w:sz w:val="24"/>
          <w:szCs w:val="24"/>
        </w:rPr>
        <w:t xml:space="preserve"> (</w:t>
      </w:r>
      <w:r w:rsidR="006B5EA8" w:rsidRPr="00782D7B">
        <w:rPr>
          <w:rFonts w:ascii="Arial" w:eastAsia="Arial" w:hAnsi="Arial" w:cs="Arial"/>
          <w:sz w:val="24"/>
          <w:szCs w:val="24"/>
        </w:rPr>
        <w:t xml:space="preserve">Ball </w:t>
      </w:r>
      <w:r w:rsidR="006B5EA8" w:rsidRPr="00782D7B">
        <w:rPr>
          <w:rFonts w:ascii="Arial" w:eastAsia="Arial" w:hAnsi="Arial" w:cs="Arial"/>
          <w:iCs/>
          <w:sz w:val="24"/>
          <w:szCs w:val="24"/>
        </w:rPr>
        <w:t>et al</w:t>
      </w:r>
      <w:r w:rsidR="006B5EA8" w:rsidRPr="00782D7B">
        <w:rPr>
          <w:rFonts w:ascii="Arial" w:eastAsia="Arial" w:hAnsi="Arial" w:cs="Arial"/>
          <w:sz w:val="24"/>
          <w:szCs w:val="24"/>
        </w:rPr>
        <w:t xml:space="preserve">., 2003; </w:t>
      </w:r>
      <w:r w:rsidR="00275E16" w:rsidRPr="00782D7B">
        <w:rPr>
          <w:rFonts w:ascii="Arial" w:hAnsi="Arial" w:cs="Arial"/>
          <w:sz w:val="24"/>
          <w:szCs w:val="24"/>
        </w:rPr>
        <w:t>Campos-Ortega and</w:t>
      </w:r>
      <w:r w:rsidRPr="00782D7B">
        <w:rPr>
          <w:rFonts w:ascii="Arial" w:hAnsi="Arial" w:cs="Arial"/>
          <w:sz w:val="24"/>
          <w:szCs w:val="24"/>
        </w:rPr>
        <w:t xml:space="preserve"> Hartenstein, 1985; Li </w:t>
      </w:r>
      <w:r w:rsidRPr="00782D7B">
        <w:rPr>
          <w:rFonts w:ascii="Arial" w:hAnsi="Arial" w:cs="Arial"/>
          <w:iCs/>
          <w:sz w:val="24"/>
          <w:szCs w:val="24"/>
        </w:rPr>
        <w:t>et al</w:t>
      </w:r>
      <w:r w:rsidRPr="00782D7B">
        <w:rPr>
          <w:rFonts w:ascii="Arial" w:hAnsi="Arial" w:cs="Arial"/>
          <w:sz w:val="24"/>
          <w:szCs w:val="24"/>
        </w:rPr>
        <w:t xml:space="preserve">., </w:t>
      </w:r>
      <w:r w:rsidR="006B5EA8" w:rsidRPr="00782D7B">
        <w:rPr>
          <w:rFonts w:ascii="Arial" w:hAnsi="Arial" w:cs="Arial"/>
          <w:sz w:val="24"/>
          <w:szCs w:val="24"/>
        </w:rPr>
        <w:t>2002</w:t>
      </w:r>
      <w:r w:rsidRPr="00782D7B">
        <w:rPr>
          <w:rFonts w:ascii="Arial" w:hAnsi="Arial" w:cs="Arial"/>
          <w:sz w:val="24"/>
          <w:szCs w:val="24"/>
        </w:rPr>
        <w:t>). The physiological saline is HL3 (in mM): 1.0 CaCl</w:t>
      </w:r>
      <w:r w:rsidRPr="00782D7B">
        <w:rPr>
          <w:rFonts w:ascii="Arial" w:hAnsi="Arial" w:cs="Arial"/>
          <w:sz w:val="24"/>
          <w:szCs w:val="24"/>
          <w:vertAlign w:val="subscript"/>
        </w:rPr>
        <w:t>2</w:t>
      </w:r>
      <w:r w:rsidRPr="00782D7B">
        <w:rPr>
          <w:rFonts w:ascii="Arial" w:hAnsi="Arial" w:cs="Arial"/>
          <w:sz w:val="24"/>
          <w:szCs w:val="24"/>
        </w:rPr>
        <w:t xml:space="preserve"> 2H</w:t>
      </w:r>
      <w:r w:rsidRPr="00782D7B">
        <w:rPr>
          <w:rFonts w:ascii="Arial" w:hAnsi="Arial" w:cs="Arial"/>
          <w:sz w:val="24"/>
          <w:szCs w:val="24"/>
          <w:vertAlign w:val="subscript"/>
        </w:rPr>
        <w:t>2</w:t>
      </w:r>
      <w:r w:rsidRPr="00782D7B">
        <w:rPr>
          <w:rFonts w:ascii="Arial" w:hAnsi="Arial" w:cs="Arial"/>
          <w:sz w:val="24"/>
          <w:szCs w:val="24"/>
        </w:rPr>
        <w:t>O, 20 MgCl</w:t>
      </w:r>
      <w:r w:rsidRPr="00782D7B">
        <w:rPr>
          <w:rFonts w:ascii="Arial" w:hAnsi="Arial" w:cs="Arial"/>
          <w:sz w:val="24"/>
          <w:szCs w:val="24"/>
          <w:vertAlign w:val="subscript"/>
        </w:rPr>
        <w:t>2</w:t>
      </w:r>
      <w:r w:rsidRPr="00782D7B">
        <w:rPr>
          <w:rFonts w:ascii="Arial" w:hAnsi="Arial" w:cs="Arial"/>
          <w:sz w:val="24"/>
          <w:szCs w:val="24"/>
        </w:rPr>
        <w:t>,  70 NaCl, 5 KCl, 10NaHCO</w:t>
      </w:r>
      <w:r w:rsidRPr="00782D7B">
        <w:rPr>
          <w:rFonts w:ascii="Arial" w:hAnsi="Arial" w:cs="Arial"/>
          <w:sz w:val="24"/>
          <w:szCs w:val="24"/>
          <w:vertAlign w:val="subscript"/>
        </w:rPr>
        <w:t>3</w:t>
      </w:r>
      <w:r w:rsidRPr="00782D7B">
        <w:rPr>
          <w:rFonts w:ascii="Arial" w:hAnsi="Arial" w:cs="Arial"/>
          <w:sz w:val="24"/>
          <w:szCs w:val="24"/>
        </w:rPr>
        <w:t xml:space="preserve">, 5 trehalose, 115 sucrose, 5 BES (N,N-bis[2-hydroxy-ethyl]-2-aminoethanesulfonic acid) and adjusted to a pH of 7.2 (Stewart </w:t>
      </w:r>
      <w:r w:rsidRPr="00782D7B">
        <w:rPr>
          <w:rFonts w:ascii="Arial" w:hAnsi="Arial" w:cs="Arial"/>
          <w:iCs/>
          <w:sz w:val="24"/>
          <w:szCs w:val="24"/>
        </w:rPr>
        <w:t>et al</w:t>
      </w:r>
      <w:r w:rsidRPr="00782D7B">
        <w:rPr>
          <w:rFonts w:ascii="Arial" w:hAnsi="Arial" w:cs="Arial"/>
          <w:sz w:val="24"/>
          <w:szCs w:val="24"/>
        </w:rPr>
        <w:t>., 1994). All experiments w</w:t>
      </w:r>
      <w:r w:rsidR="00E73944" w:rsidRPr="00782D7B">
        <w:rPr>
          <w:rFonts w:ascii="Arial" w:hAnsi="Arial" w:cs="Arial"/>
          <w:sz w:val="24"/>
          <w:szCs w:val="24"/>
        </w:rPr>
        <w:t>ere</w:t>
      </w:r>
      <w:r w:rsidRPr="00782D7B">
        <w:rPr>
          <w:rFonts w:ascii="Arial" w:hAnsi="Arial" w:cs="Arial"/>
          <w:sz w:val="24"/>
          <w:szCs w:val="24"/>
        </w:rPr>
        <w:t xml:space="preserve"> performed at room temperature (20-2</w:t>
      </w:r>
      <w:r w:rsidR="00E73944" w:rsidRPr="00782D7B">
        <w:rPr>
          <w:rFonts w:ascii="Arial" w:hAnsi="Arial" w:cs="Arial"/>
          <w:sz w:val="24"/>
          <w:szCs w:val="24"/>
        </w:rPr>
        <w:t>1</w:t>
      </w:r>
      <w:r w:rsidRPr="00782D7B">
        <w:rPr>
          <w:rFonts w:ascii="Arial" w:hAnsi="Arial" w:cs="Arial"/>
          <w:sz w:val="24"/>
          <w:szCs w:val="24"/>
          <w:vertAlign w:val="superscript"/>
        </w:rPr>
        <w:sym w:font="Symbol" w:char="F0B0"/>
      </w:r>
      <w:r w:rsidRPr="00782D7B">
        <w:rPr>
          <w:rFonts w:ascii="Arial" w:hAnsi="Arial" w:cs="Arial"/>
          <w:sz w:val="24"/>
          <w:szCs w:val="24"/>
        </w:rPr>
        <w:t xml:space="preserve">C). The recording techniques have been previously described for intracellular EPSP measures (Dasari </w:t>
      </w:r>
      <w:r w:rsidR="00324861" w:rsidRPr="00782D7B">
        <w:rPr>
          <w:rFonts w:ascii="Arial" w:hAnsi="Arial" w:cs="Arial"/>
          <w:sz w:val="24"/>
          <w:szCs w:val="24"/>
        </w:rPr>
        <w:t>and</w:t>
      </w:r>
      <w:r w:rsidRPr="00782D7B">
        <w:rPr>
          <w:rFonts w:ascii="Arial" w:hAnsi="Arial" w:cs="Arial"/>
          <w:sz w:val="24"/>
          <w:szCs w:val="24"/>
        </w:rPr>
        <w:t xml:space="preserve"> Cooper, 2004; Sparks </w:t>
      </w:r>
      <w:r w:rsidRPr="00782D7B">
        <w:rPr>
          <w:rFonts w:ascii="Arial" w:hAnsi="Arial" w:cs="Arial"/>
          <w:iCs/>
          <w:sz w:val="24"/>
          <w:szCs w:val="24"/>
        </w:rPr>
        <w:t>et al</w:t>
      </w:r>
      <w:r w:rsidRPr="00782D7B">
        <w:rPr>
          <w:rFonts w:ascii="Arial" w:hAnsi="Arial" w:cs="Arial"/>
          <w:sz w:val="24"/>
          <w:szCs w:val="24"/>
        </w:rPr>
        <w:t>., 2004</w:t>
      </w:r>
      <w:r w:rsidR="00324861" w:rsidRPr="00782D7B">
        <w:rPr>
          <w:rFonts w:ascii="Arial" w:hAnsi="Arial" w:cs="Arial"/>
          <w:sz w:val="24"/>
          <w:szCs w:val="24"/>
        </w:rPr>
        <w:t xml:space="preserve">; Stewart </w:t>
      </w:r>
      <w:r w:rsidR="00324861" w:rsidRPr="00782D7B">
        <w:rPr>
          <w:rFonts w:ascii="Arial" w:hAnsi="Arial" w:cs="Arial"/>
          <w:iCs/>
          <w:sz w:val="24"/>
          <w:szCs w:val="24"/>
        </w:rPr>
        <w:t>et al</w:t>
      </w:r>
      <w:r w:rsidR="00324861" w:rsidRPr="00782D7B">
        <w:rPr>
          <w:rFonts w:ascii="Arial" w:hAnsi="Arial" w:cs="Arial"/>
          <w:sz w:val="24"/>
          <w:szCs w:val="24"/>
        </w:rPr>
        <w:t>., 1994</w:t>
      </w:r>
      <w:r w:rsidRPr="00782D7B">
        <w:rPr>
          <w:rFonts w:ascii="Arial" w:hAnsi="Arial" w:cs="Arial"/>
          <w:sz w:val="24"/>
          <w:szCs w:val="24"/>
        </w:rPr>
        <w:t>) and extracellular focal quantal recordings (Cooper et al., 1995</w:t>
      </w:r>
      <w:r w:rsidR="005E4C4A" w:rsidRPr="00782D7B">
        <w:rPr>
          <w:rFonts w:ascii="Arial" w:hAnsi="Arial" w:cs="Arial"/>
          <w:sz w:val="24"/>
          <w:szCs w:val="24"/>
        </w:rPr>
        <w:t>a</w:t>
      </w:r>
      <w:r w:rsidRPr="00782D7B">
        <w:rPr>
          <w:rFonts w:ascii="Arial" w:hAnsi="Arial" w:cs="Arial"/>
          <w:sz w:val="24"/>
          <w:szCs w:val="24"/>
        </w:rPr>
        <w:t xml:space="preserve">; Harrison and Cooper, </w:t>
      </w:r>
      <w:r w:rsidR="00A96321" w:rsidRPr="00782D7B">
        <w:rPr>
          <w:rFonts w:ascii="Arial" w:hAnsi="Arial" w:cs="Arial"/>
          <w:sz w:val="24"/>
          <w:szCs w:val="24"/>
        </w:rPr>
        <w:t>2003</w:t>
      </w:r>
      <w:r w:rsidRPr="00782D7B">
        <w:rPr>
          <w:rFonts w:ascii="Arial" w:hAnsi="Arial" w:cs="Arial"/>
          <w:sz w:val="24"/>
          <w:szCs w:val="24"/>
        </w:rPr>
        <w:t>). The compound amplitude of the excitatory postsynaptic potentials (EPSP) elicited by Is and Ib motor nerve terminals in segment 3 of muscle m6 w</w:t>
      </w:r>
      <w:r w:rsidR="00E73944" w:rsidRPr="00782D7B">
        <w:rPr>
          <w:rFonts w:ascii="Arial" w:hAnsi="Arial" w:cs="Arial"/>
          <w:sz w:val="24"/>
          <w:szCs w:val="24"/>
        </w:rPr>
        <w:t>ere</w:t>
      </w:r>
      <w:r w:rsidRPr="00782D7B">
        <w:rPr>
          <w:rFonts w:ascii="Arial" w:hAnsi="Arial" w:cs="Arial"/>
          <w:sz w:val="24"/>
          <w:szCs w:val="24"/>
        </w:rPr>
        <w:t xml:space="preserve"> monitored as in </w:t>
      </w:r>
      <w:r w:rsidRPr="00782D7B">
        <w:rPr>
          <w:rFonts w:ascii="Arial" w:hAnsi="Arial" w:cs="Arial"/>
          <w:sz w:val="24"/>
          <w:szCs w:val="24"/>
          <w:lang w:val="en-CA"/>
        </w:rPr>
        <w:t>Kurdyak et al., (1994) and</w:t>
      </w:r>
      <w:r w:rsidRPr="00782D7B">
        <w:rPr>
          <w:rFonts w:ascii="Arial" w:hAnsi="Arial" w:cs="Arial"/>
          <w:sz w:val="24"/>
          <w:szCs w:val="24"/>
        </w:rPr>
        <w:t xml:space="preserve"> Ruffner et al., (1999). The identified m6 muscle </w:t>
      </w:r>
      <w:r w:rsidR="00E73944" w:rsidRPr="00782D7B">
        <w:rPr>
          <w:rFonts w:ascii="Arial" w:hAnsi="Arial" w:cs="Arial"/>
          <w:sz w:val="24"/>
          <w:szCs w:val="24"/>
        </w:rPr>
        <w:t>wa</w:t>
      </w:r>
      <w:r w:rsidRPr="00782D7B">
        <w:rPr>
          <w:rFonts w:ascii="Arial" w:hAnsi="Arial" w:cs="Arial"/>
          <w:sz w:val="24"/>
          <w:szCs w:val="24"/>
        </w:rPr>
        <w:t>s</w:t>
      </w:r>
      <w:r w:rsidR="00E73944" w:rsidRPr="00782D7B">
        <w:rPr>
          <w:rFonts w:ascii="Arial" w:hAnsi="Arial" w:cs="Arial"/>
          <w:sz w:val="24"/>
          <w:szCs w:val="24"/>
        </w:rPr>
        <w:t xml:space="preserve"> </w:t>
      </w:r>
      <w:r w:rsidRPr="00782D7B">
        <w:rPr>
          <w:rFonts w:ascii="Arial" w:hAnsi="Arial" w:cs="Arial"/>
          <w:sz w:val="24"/>
          <w:szCs w:val="24"/>
        </w:rPr>
        <w:t>used in each preparation. Only preparations with a resting membrane potential of -50mV or greater w</w:t>
      </w:r>
      <w:r w:rsidR="00E73944" w:rsidRPr="00782D7B">
        <w:rPr>
          <w:rFonts w:ascii="Arial" w:hAnsi="Arial" w:cs="Arial"/>
          <w:sz w:val="24"/>
          <w:szCs w:val="24"/>
        </w:rPr>
        <w:t>ere</w:t>
      </w:r>
      <w:r w:rsidRPr="00782D7B">
        <w:rPr>
          <w:rFonts w:ascii="Arial" w:hAnsi="Arial" w:cs="Arial"/>
          <w:sz w:val="24"/>
          <w:szCs w:val="24"/>
        </w:rPr>
        <w:t xml:space="preserve"> used and the HL3 dissection medium w</w:t>
      </w:r>
      <w:r w:rsidR="00E73944" w:rsidRPr="00782D7B">
        <w:rPr>
          <w:rFonts w:ascii="Arial" w:hAnsi="Arial" w:cs="Arial"/>
          <w:sz w:val="24"/>
          <w:szCs w:val="24"/>
        </w:rPr>
        <w:t>as</w:t>
      </w:r>
      <w:r w:rsidRPr="00782D7B">
        <w:rPr>
          <w:rFonts w:ascii="Arial" w:hAnsi="Arial" w:cs="Arial"/>
          <w:sz w:val="24"/>
          <w:szCs w:val="24"/>
        </w:rPr>
        <w:t xml:space="preserve"> completely replaced by HL3 media containing the pharmacological compounds. </w:t>
      </w:r>
      <w:r w:rsidR="00D65B65">
        <w:rPr>
          <w:rFonts w:ascii="Arial" w:hAnsi="Arial" w:cs="Arial"/>
          <w:sz w:val="24"/>
          <w:szCs w:val="24"/>
        </w:rPr>
        <w:t xml:space="preserve">The same time course of pharmacological exposures were used throughout this study. </w:t>
      </w:r>
    </w:p>
    <w:p w:rsidR="005068F3" w:rsidRPr="00782D7B" w:rsidRDefault="005068F3" w:rsidP="008E4CBF">
      <w:pPr>
        <w:spacing w:after="0" w:line="480" w:lineRule="auto"/>
        <w:rPr>
          <w:rFonts w:ascii="Arial" w:hAnsi="Arial" w:cs="Arial"/>
          <w:b/>
          <w:sz w:val="24"/>
          <w:szCs w:val="24"/>
        </w:rPr>
      </w:pPr>
    </w:p>
    <w:p w:rsidR="00F40787" w:rsidRPr="00782D7B" w:rsidRDefault="00373739" w:rsidP="008E4CBF">
      <w:pPr>
        <w:spacing w:after="0" w:line="480" w:lineRule="auto"/>
        <w:rPr>
          <w:rFonts w:ascii="Arial" w:hAnsi="Arial" w:cs="Arial"/>
          <w:b/>
          <w:sz w:val="24"/>
          <w:szCs w:val="24"/>
        </w:rPr>
      </w:pPr>
      <w:r>
        <w:rPr>
          <w:rFonts w:ascii="Arial" w:hAnsi="Arial" w:cs="Arial"/>
          <w:b/>
          <w:sz w:val="24"/>
          <w:szCs w:val="24"/>
        </w:rPr>
        <w:lastRenderedPageBreak/>
        <w:t xml:space="preserve">2.2 </w:t>
      </w:r>
      <w:r w:rsidR="00F40787" w:rsidRPr="00782D7B">
        <w:rPr>
          <w:rFonts w:ascii="Arial" w:hAnsi="Arial" w:cs="Arial"/>
          <w:b/>
          <w:sz w:val="24"/>
          <w:szCs w:val="24"/>
        </w:rPr>
        <w:t>Quantal analysis</w:t>
      </w:r>
    </w:p>
    <w:p w:rsidR="00FC6DE7" w:rsidRPr="00782D7B" w:rsidRDefault="00F40787" w:rsidP="00D65B65">
      <w:pPr>
        <w:spacing w:after="0" w:line="480" w:lineRule="auto"/>
        <w:ind w:firstLine="720"/>
        <w:rPr>
          <w:rFonts w:ascii="Arial" w:hAnsi="Arial" w:cs="Arial"/>
          <w:b/>
          <w:sz w:val="24"/>
          <w:szCs w:val="24"/>
        </w:rPr>
      </w:pPr>
      <w:r w:rsidRPr="00782D7B">
        <w:rPr>
          <w:rFonts w:ascii="Arial" w:hAnsi="Arial" w:cs="Arial"/>
          <w:sz w:val="24"/>
          <w:szCs w:val="24"/>
        </w:rPr>
        <w:t xml:space="preserve">All quantal analysis of intracellular whole muscle recordings </w:t>
      </w:r>
      <w:r w:rsidR="00FC3C86">
        <w:rPr>
          <w:rFonts w:ascii="Arial" w:hAnsi="Arial" w:cs="Arial"/>
          <w:sz w:val="24"/>
          <w:szCs w:val="24"/>
        </w:rPr>
        <w:t>was performed</w:t>
      </w:r>
      <w:r w:rsidRPr="00782D7B">
        <w:rPr>
          <w:rFonts w:ascii="Arial" w:hAnsi="Arial" w:cs="Arial"/>
          <w:sz w:val="24"/>
          <w:szCs w:val="24"/>
        </w:rPr>
        <w:t xml:space="preserve"> as described previously (Cooper et al., 1995</w:t>
      </w:r>
      <w:r w:rsidR="005E4C4A" w:rsidRPr="00782D7B">
        <w:rPr>
          <w:rFonts w:ascii="Arial" w:hAnsi="Arial" w:cs="Arial"/>
          <w:sz w:val="24"/>
          <w:szCs w:val="24"/>
        </w:rPr>
        <w:t>b</w:t>
      </w:r>
      <w:r w:rsidRPr="00782D7B">
        <w:rPr>
          <w:rFonts w:ascii="Arial" w:hAnsi="Arial" w:cs="Arial"/>
          <w:sz w:val="24"/>
          <w:szCs w:val="24"/>
        </w:rPr>
        <w:t>).  The quantal analysis of measuring spontaneous frequency and characteristics of the quantal shape are standard approaches</w:t>
      </w:r>
      <w:r w:rsidR="00E73944" w:rsidRPr="00782D7B">
        <w:rPr>
          <w:rFonts w:ascii="Arial" w:hAnsi="Arial" w:cs="Arial"/>
          <w:sz w:val="24"/>
          <w:szCs w:val="24"/>
        </w:rPr>
        <w:t>.</w:t>
      </w:r>
      <w:r w:rsidR="00E73944" w:rsidRPr="00782D7B">
        <w:rPr>
          <w:rFonts w:ascii="Arial" w:hAnsi="Arial" w:cs="Arial"/>
          <w:b/>
          <w:sz w:val="24"/>
          <w:szCs w:val="24"/>
        </w:rPr>
        <w:t xml:space="preserve"> </w:t>
      </w:r>
    </w:p>
    <w:p w:rsidR="00F40787" w:rsidRPr="00782D7B" w:rsidRDefault="00373739" w:rsidP="008E4CBF">
      <w:pPr>
        <w:spacing w:after="0" w:line="480" w:lineRule="auto"/>
        <w:rPr>
          <w:rFonts w:ascii="Arial" w:hAnsi="Arial" w:cs="Arial"/>
          <w:b/>
          <w:sz w:val="24"/>
          <w:szCs w:val="24"/>
        </w:rPr>
      </w:pPr>
      <w:r>
        <w:rPr>
          <w:rFonts w:ascii="Arial" w:hAnsi="Arial" w:cs="Arial"/>
          <w:b/>
          <w:sz w:val="24"/>
          <w:szCs w:val="24"/>
        </w:rPr>
        <w:t xml:space="preserve">2.3 </w:t>
      </w:r>
      <w:r w:rsidR="00F40787" w:rsidRPr="00782D7B">
        <w:rPr>
          <w:rFonts w:ascii="Arial" w:hAnsi="Arial" w:cs="Arial"/>
          <w:b/>
          <w:sz w:val="24"/>
          <w:szCs w:val="24"/>
        </w:rPr>
        <w:t>Pharmacology</w:t>
      </w:r>
    </w:p>
    <w:p w:rsidR="005068F3" w:rsidRPr="00782D7B" w:rsidRDefault="00F40787" w:rsidP="008E4CBF">
      <w:pPr>
        <w:spacing w:after="0" w:line="480" w:lineRule="auto"/>
        <w:ind w:firstLine="720"/>
        <w:rPr>
          <w:rFonts w:ascii="Arial" w:hAnsi="Arial" w:cs="Arial"/>
          <w:sz w:val="24"/>
          <w:szCs w:val="24"/>
        </w:rPr>
      </w:pPr>
      <w:r w:rsidRPr="00782D7B">
        <w:rPr>
          <w:rFonts w:ascii="Arial" w:hAnsi="Arial" w:cs="Arial"/>
          <w:sz w:val="24"/>
          <w:szCs w:val="24"/>
        </w:rPr>
        <w:t xml:space="preserve">In an earlier report </w:t>
      </w:r>
      <w:r w:rsidR="00E73944" w:rsidRPr="00782D7B">
        <w:rPr>
          <w:rFonts w:ascii="Arial" w:hAnsi="Arial" w:cs="Arial"/>
          <w:sz w:val="24"/>
          <w:szCs w:val="24"/>
        </w:rPr>
        <w:t>(</w:t>
      </w:r>
      <w:r w:rsidR="005068F3" w:rsidRPr="00782D7B">
        <w:rPr>
          <w:rFonts w:ascii="Arial" w:hAnsi="Arial" w:cs="Arial"/>
          <w:sz w:val="24"/>
          <w:szCs w:val="24"/>
        </w:rPr>
        <w:t xml:space="preserve">Bhatt and </w:t>
      </w:r>
      <w:r w:rsidR="005068F3" w:rsidRPr="00782D7B">
        <w:rPr>
          <w:rFonts w:ascii="Arial" w:hAnsi="Arial" w:cs="Arial"/>
          <w:bCs/>
          <w:sz w:val="24"/>
          <w:szCs w:val="24"/>
        </w:rPr>
        <w:t>Cooper,</w:t>
      </w:r>
      <w:r w:rsidR="005068F3" w:rsidRPr="00782D7B">
        <w:rPr>
          <w:rFonts w:ascii="Arial" w:hAnsi="Arial" w:cs="Arial"/>
          <w:sz w:val="24"/>
          <w:szCs w:val="24"/>
        </w:rPr>
        <w:t xml:space="preserve"> </w:t>
      </w:r>
      <w:r w:rsidR="005068F3" w:rsidRPr="00782D7B">
        <w:rPr>
          <w:rFonts w:ascii="Arial" w:hAnsi="Arial" w:cs="Arial"/>
          <w:bCs/>
          <w:sz w:val="24"/>
          <w:szCs w:val="24"/>
        </w:rPr>
        <w:t>2005</w:t>
      </w:r>
      <w:r w:rsidR="00E73944" w:rsidRPr="00782D7B">
        <w:rPr>
          <w:rFonts w:ascii="Arial" w:hAnsi="Arial" w:cs="Arial"/>
          <w:sz w:val="24"/>
          <w:szCs w:val="24"/>
        </w:rPr>
        <w:t>)</w:t>
      </w:r>
      <w:r w:rsidRPr="00782D7B">
        <w:rPr>
          <w:rFonts w:ascii="Arial" w:hAnsi="Arial" w:cs="Arial"/>
          <w:sz w:val="24"/>
          <w:szCs w:val="24"/>
        </w:rPr>
        <w:t xml:space="preserve">, </w:t>
      </w:r>
      <w:r w:rsidR="00E73944" w:rsidRPr="00782D7B">
        <w:rPr>
          <w:rFonts w:ascii="Arial" w:hAnsi="Arial" w:cs="Arial"/>
          <w:sz w:val="24"/>
          <w:szCs w:val="24"/>
        </w:rPr>
        <w:t xml:space="preserve">actions  of </w:t>
      </w:r>
      <w:r w:rsidRPr="00782D7B">
        <w:rPr>
          <w:rFonts w:ascii="Arial" w:hAnsi="Arial" w:cs="Arial"/>
          <w:sz w:val="24"/>
          <w:szCs w:val="24"/>
        </w:rPr>
        <w:t>NMDA, AMPA, L-glutamate, kainate, quisqualic acid, NBQX, AP5, and DNQX</w:t>
      </w:r>
      <w:r w:rsidR="00E73944" w:rsidRPr="00782D7B">
        <w:rPr>
          <w:rFonts w:ascii="Arial" w:hAnsi="Arial" w:cs="Arial"/>
          <w:sz w:val="24"/>
          <w:szCs w:val="24"/>
        </w:rPr>
        <w:t>,</w:t>
      </w:r>
      <w:r w:rsidRPr="00782D7B">
        <w:rPr>
          <w:rFonts w:ascii="Arial" w:hAnsi="Arial" w:cs="Arial"/>
          <w:sz w:val="24"/>
          <w:szCs w:val="24"/>
        </w:rPr>
        <w:t xml:space="preserve"> with regard to synaptic transmission and direct effects on the muscle </w:t>
      </w:r>
      <w:r w:rsidR="00FC3C86">
        <w:rPr>
          <w:rFonts w:ascii="ArialMT" w:hAnsi="ArialMT" w:cs="ArialMT"/>
          <w:sz w:val="24"/>
        </w:rPr>
        <w:t>fibers, were examined. That study showed</w:t>
      </w:r>
      <w:r w:rsidR="00E73944" w:rsidRPr="00782D7B">
        <w:rPr>
          <w:rFonts w:ascii="Arial" w:hAnsi="Arial" w:cs="Arial"/>
          <w:sz w:val="24"/>
          <w:szCs w:val="24"/>
        </w:rPr>
        <w:t xml:space="preserve"> </w:t>
      </w:r>
      <w:r w:rsidRPr="00782D7B">
        <w:rPr>
          <w:rFonts w:ascii="Arial" w:hAnsi="Arial" w:cs="Arial"/>
          <w:sz w:val="24"/>
          <w:szCs w:val="24"/>
        </w:rPr>
        <w:t>that kainate reduced evoked EPSPs</w:t>
      </w:r>
      <w:r w:rsidR="005068F3" w:rsidRPr="00782D7B">
        <w:rPr>
          <w:rFonts w:ascii="Arial" w:hAnsi="Arial" w:cs="Arial"/>
          <w:sz w:val="24"/>
          <w:szCs w:val="24"/>
        </w:rPr>
        <w:t>.</w:t>
      </w:r>
      <w:r w:rsidR="00E73944" w:rsidRPr="00782D7B">
        <w:rPr>
          <w:rFonts w:ascii="Arial" w:hAnsi="Arial" w:cs="Arial"/>
          <w:sz w:val="24"/>
          <w:szCs w:val="24"/>
        </w:rPr>
        <w:t xml:space="preserve"> The same </w:t>
      </w:r>
      <w:r w:rsidR="008E4CBF" w:rsidRPr="00782D7B">
        <w:rPr>
          <w:rFonts w:ascii="Arial" w:hAnsi="Arial" w:cs="Arial"/>
          <w:sz w:val="24"/>
          <w:szCs w:val="24"/>
        </w:rPr>
        <w:t xml:space="preserve">procedures for exchanging the bathing medium with pharmacological agents </w:t>
      </w:r>
      <w:r w:rsidR="003665E8">
        <w:rPr>
          <w:rFonts w:ascii="ArialMT" w:hAnsi="ArialMT" w:cs="ArialMT"/>
          <w:sz w:val="24"/>
        </w:rPr>
        <w:t>were used in the current study</w:t>
      </w:r>
      <w:r w:rsidR="00E73944" w:rsidRPr="00782D7B">
        <w:rPr>
          <w:rFonts w:ascii="Arial" w:hAnsi="Arial" w:cs="Arial"/>
          <w:sz w:val="24"/>
          <w:szCs w:val="24"/>
        </w:rPr>
        <w:t>.</w:t>
      </w:r>
      <w:r w:rsidRPr="00782D7B">
        <w:rPr>
          <w:rFonts w:ascii="Arial" w:hAnsi="Arial" w:cs="Arial"/>
          <w:sz w:val="24"/>
          <w:szCs w:val="24"/>
        </w:rPr>
        <w:t xml:space="preserve"> </w:t>
      </w:r>
      <w:r w:rsidR="00C039CA" w:rsidRPr="00782D7B">
        <w:rPr>
          <w:rFonts w:ascii="Arial" w:hAnsi="Arial" w:cs="Arial"/>
          <w:sz w:val="24"/>
          <w:szCs w:val="24"/>
        </w:rPr>
        <w:t xml:space="preserve">The compound </w:t>
      </w:r>
      <w:r w:rsidR="00C039CA" w:rsidRPr="00782D7B">
        <w:rPr>
          <w:rFonts w:ascii="Arial" w:hAnsi="Arial" w:cs="Arial"/>
          <w:iCs/>
          <w:sz w:val="24"/>
          <w:szCs w:val="24"/>
        </w:rPr>
        <w:t>trans</w:t>
      </w:r>
      <w:r w:rsidR="00C039CA" w:rsidRPr="00782D7B">
        <w:rPr>
          <w:rFonts w:ascii="Arial" w:hAnsi="Arial" w:cs="Arial"/>
          <w:sz w:val="24"/>
          <w:szCs w:val="24"/>
        </w:rPr>
        <w:t xml:space="preserve">-(±)-1-Amino-1,3-cyclopentanedicarboxylic acid monohydrate (t-ACPD) is a known mGluR agonist (Holscher et al., 1997) and </w:t>
      </w:r>
      <w:r w:rsidR="00FC3C86">
        <w:rPr>
          <w:rFonts w:ascii="Arial" w:hAnsi="Arial" w:cs="Arial"/>
          <w:sz w:val="24"/>
          <w:szCs w:val="24"/>
        </w:rPr>
        <w:t>was</w:t>
      </w:r>
      <w:r w:rsidR="00C039CA" w:rsidRPr="00782D7B">
        <w:rPr>
          <w:rFonts w:ascii="Arial" w:hAnsi="Arial" w:cs="Arial"/>
          <w:sz w:val="24"/>
          <w:szCs w:val="24"/>
        </w:rPr>
        <w:t xml:space="preserve"> shown to have some effect on newly hatched </w:t>
      </w:r>
      <w:r w:rsidR="00C039CA" w:rsidRPr="00782D7B">
        <w:rPr>
          <w:rFonts w:ascii="Arial" w:hAnsi="Arial" w:cs="Arial"/>
          <w:i/>
          <w:sz w:val="24"/>
          <w:szCs w:val="24"/>
        </w:rPr>
        <w:t>Drosophila</w:t>
      </w:r>
      <w:r w:rsidR="00FC3C86">
        <w:rPr>
          <w:rFonts w:ascii="Arial" w:hAnsi="Arial" w:cs="Arial"/>
          <w:sz w:val="24"/>
          <w:szCs w:val="24"/>
        </w:rPr>
        <w:t xml:space="preserve"> larvae (Zhang et al. 1999)</w:t>
      </w:r>
      <w:r w:rsidR="00FC3C86">
        <w:rPr>
          <w:rFonts w:ascii="ArialMT" w:hAnsi="ArialMT" w:cs="ArialMT"/>
          <w:sz w:val="24"/>
        </w:rPr>
        <w:t xml:space="preserve">. </w:t>
      </w:r>
      <w:r w:rsidR="00C039CA" w:rsidRPr="00782D7B">
        <w:rPr>
          <w:rFonts w:ascii="Arial" w:hAnsi="Arial" w:cs="Arial"/>
          <w:sz w:val="24"/>
          <w:szCs w:val="24"/>
        </w:rPr>
        <w:t xml:space="preserve"> </w:t>
      </w:r>
      <w:r w:rsidR="005068F3" w:rsidRPr="00782D7B">
        <w:rPr>
          <w:rFonts w:ascii="Arial" w:hAnsi="Arial" w:cs="Arial"/>
          <w:sz w:val="24"/>
          <w:szCs w:val="24"/>
        </w:rPr>
        <w:t>We</w:t>
      </w:r>
      <w:r w:rsidR="00C039CA" w:rsidRPr="00782D7B">
        <w:rPr>
          <w:rFonts w:ascii="Arial" w:hAnsi="Arial" w:cs="Arial"/>
          <w:sz w:val="24"/>
          <w:szCs w:val="24"/>
        </w:rPr>
        <w:t xml:space="preserve"> </w:t>
      </w:r>
      <w:r w:rsidR="005068F3" w:rsidRPr="00782D7B">
        <w:rPr>
          <w:rFonts w:ascii="Arial" w:hAnsi="Arial" w:cs="Arial"/>
          <w:sz w:val="24"/>
          <w:szCs w:val="24"/>
        </w:rPr>
        <w:t xml:space="preserve">examined the </w:t>
      </w:r>
      <w:r w:rsidR="00182BED" w:rsidRPr="00782D7B">
        <w:rPr>
          <w:rFonts w:ascii="Arial" w:hAnsi="Arial" w:cs="Arial"/>
          <w:sz w:val="24"/>
          <w:szCs w:val="24"/>
        </w:rPr>
        <w:t>actions</w:t>
      </w:r>
      <w:r w:rsidR="005068F3" w:rsidRPr="00782D7B">
        <w:rPr>
          <w:rFonts w:ascii="Arial" w:hAnsi="Arial" w:cs="Arial"/>
          <w:sz w:val="24"/>
          <w:szCs w:val="24"/>
        </w:rPr>
        <w:t xml:space="preserve"> of </w:t>
      </w:r>
      <w:r w:rsidR="00C039CA" w:rsidRPr="005F778A">
        <w:rPr>
          <w:rFonts w:ascii="Arial" w:hAnsi="Arial" w:cs="Arial"/>
          <w:sz w:val="24"/>
          <w:szCs w:val="24"/>
        </w:rPr>
        <w:t>ATPA</w:t>
      </w:r>
      <w:r w:rsidR="005F778A" w:rsidRPr="005F778A">
        <w:rPr>
          <w:rFonts w:ascii="Arial" w:hAnsi="Arial" w:cs="Arial"/>
          <w:sz w:val="24"/>
          <w:szCs w:val="24"/>
        </w:rPr>
        <w:t xml:space="preserve"> and SYM 2081</w:t>
      </w:r>
      <w:r w:rsidR="00FC6DE7" w:rsidRPr="005F778A">
        <w:rPr>
          <w:rFonts w:ascii="Arial" w:hAnsi="Arial" w:cs="Arial"/>
          <w:sz w:val="24"/>
          <w:szCs w:val="24"/>
        </w:rPr>
        <w:t xml:space="preserve">, </w:t>
      </w:r>
      <w:r w:rsidR="005F778A" w:rsidRPr="005F778A">
        <w:rPr>
          <w:rFonts w:ascii="Arial" w:hAnsi="Arial" w:cs="Arial"/>
          <w:sz w:val="24"/>
          <w:szCs w:val="24"/>
        </w:rPr>
        <w:t>that are</w:t>
      </w:r>
      <w:r w:rsidR="00FC6DE7" w:rsidRPr="005F778A">
        <w:rPr>
          <w:rFonts w:ascii="Arial" w:hAnsi="Arial" w:cs="Arial"/>
          <w:sz w:val="24"/>
          <w:szCs w:val="24"/>
        </w:rPr>
        <w:t xml:space="preserve"> known agonist</w:t>
      </w:r>
      <w:r w:rsidR="005F778A" w:rsidRPr="005F778A">
        <w:rPr>
          <w:rFonts w:ascii="Arial" w:hAnsi="Arial" w:cs="Arial"/>
          <w:sz w:val="24"/>
          <w:szCs w:val="24"/>
        </w:rPr>
        <w:t>s</w:t>
      </w:r>
      <w:r w:rsidR="00FC6DE7" w:rsidRPr="005F778A">
        <w:rPr>
          <w:rFonts w:ascii="Arial" w:hAnsi="Arial" w:cs="Arial"/>
          <w:sz w:val="24"/>
          <w:szCs w:val="24"/>
        </w:rPr>
        <w:t xml:space="preserve"> of the kainate receptor in vertebrates, </w:t>
      </w:r>
      <w:r w:rsidR="00C039CA" w:rsidRPr="005F778A">
        <w:rPr>
          <w:rFonts w:ascii="Arial" w:hAnsi="Arial" w:cs="Arial"/>
          <w:sz w:val="24"/>
          <w:szCs w:val="24"/>
        </w:rPr>
        <w:t xml:space="preserve"> and 1, 3-ACPD on synaptic </w:t>
      </w:r>
      <w:r w:rsidR="005068F3" w:rsidRPr="005F778A">
        <w:rPr>
          <w:rFonts w:ascii="Arial" w:hAnsi="Arial" w:cs="Arial"/>
          <w:sz w:val="24"/>
          <w:szCs w:val="24"/>
        </w:rPr>
        <w:t>responses</w:t>
      </w:r>
      <w:r w:rsidR="00C039CA" w:rsidRPr="005F778A">
        <w:rPr>
          <w:rFonts w:ascii="Arial" w:hAnsi="Arial" w:cs="Arial"/>
          <w:sz w:val="24"/>
          <w:szCs w:val="24"/>
        </w:rPr>
        <w:t xml:space="preserve">. </w:t>
      </w:r>
      <w:r w:rsidR="005F778A" w:rsidRPr="005F778A">
        <w:rPr>
          <w:rFonts w:ascii="Arial" w:hAnsi="Arial" w:cs="Arial"/>
          <w:sz w:val="24"/>
          <w:szCs w:val="24"/>
        </w:rPr>
        <w:t xml:space="preserve">We also tried an AMPA receptor antagonist GYKI 52466. </w:t>
      </w:r>
      <w:r w:rsidR="00782D7B" w:rsidRPr="005F778A">
        <w:rPr>
          <w:rFonts w:ascii="Arial" w:hAnsi="Arial" w:cs="Arial"/>
          <w:sz w:val="24"/>
          <w:szCs w:val="24"/>
        </w:rPr>
        <w:t>T</w:t>
      </w:r>
      <w:r w:rsidR="00C039CA" w:rsidRPr="005F778A">
        <w:rPr>
          <w:rFonts w:ascii="Arial" w:hAnsi="Arial" w:cs="Arial"/>
          <w:sz w:val="24"/>
          <w:szCs w:val="24"/>
        </w:rPr>
        <w:t>he ATPA</w:t>
      </w:r>
      <w:r w:rsidR="00782D7B" w:rsidRPr="005F778A">
        <w:rPr>
          <w:rFonts w:ascii="Arial" w:hAnsi="Arial" w:cs="Arial"/>
          <w:sz w:val="24"/>
          <w:szCs w:val="24"/>
        </w:rPr>
        <w:t>,</w:t>
      </w:r>
      <w:r w:rsidR="005F778A" w:rsidRPr="005F778A">
        <w:rPr>
          <w:rFonts w:ascii="Arial" w:hAnsi="Arial" w:cs="Arial"/>
          <w:sz w:val="24"/>
          <w:szCs w:val="24"/>
        </w:rPr>
        <w:t xml:space="preserve"> GYKI</w:t>
      </w:r>
      <w:r w:rsidR="005F778A">
        <w:rPr>
          <w:rFonts w:ascii="Arial" w:hAnsi="Arial" w:cs="Arial"/>
          <w:sz w:val="24"/>
          <w:szCs w:val="24"/>
        </w:rPr>
        <w:t xml:space="preserve"> 52466,</w:t>
      </w:r>
      <w:r w:rsidR="00782D7B" w:rsidRPr="00782D7B">
        <w:rPr>
          <w:rFonts w:ascii="Arial" w:hAnsi="Arial" w:cs="Arial"/>
          <w:sz w:val="24"/>
          <w:szCs w:val="24"/>
        </w:rPr>
        <w:t xml:space="preserve"> domoic acid</w:t>
      </w:r>
      <w:r w:rsidR="00C039CA" w:rsidRPr="00782D7B">
        <w:rPr>
          <w:rFonts w:ascii="Arial" w:hAnsi="Arial" w:cs="Arial"/>
          <w:sz w:val="24"/>
          <w:szCs w:val="24"/>
        </w:rPr>
        <w:t xml:space="preserve"> and the </w:t>
      </w:r>
      <w:r w:rsidR="00C039CA" w:rsidRPr="00782D7B">
        <w:rPr>
          <w:rFonts w:ascii="Arial" w:hAnsi="Arial" w:cs="Arial"/>
          <w:iCs/>
          <w:sz w:val="24"/>
          <w:szCs w:val="24"/>
        </w:rPr>
        <w:t>trans</w:t>
      </w:r>
      <w:r w:rsidR="00C039CA" w:rsidRPr="00782D7B">
        <w:rPr>
          <w:rFonts w:ascii="Arial" w:hAnsi="Arial" w:cs="Arial"/>
          <w:sz w:val="24"/>
          <w:szCs w:val="24"/>
        </w:rPr>
        <w:t>-(±)-1-Amino-1,3-cyclopentanedicarboxylic acid monohydrate (t-ACPD) were obtained from Sigma</w:t>
      </w:r>
      <w:r w:rsidR="003665E8">
        <w:rPr>
          <w:rFonts w:ascii="Arial" w:hAnsi="Arial" w:cs="Arial"/>
          <w:sz w:val="24"/>
          <w:szCs w:val="24"/>
        </w:rPr>
        <w:t>.</w:t>
      </w:r>
      <w:r w:rsidR="00C039CA" w:rsidRPr="00782D7B">
        <w:rPr>
          <w:rFonts w:ascii="Arial" w:hAnsi="Arial" w:cs="Arial"/>
          <w:sz w:val="24"/>
          <w:szCs w:val="24"/>
        </w:rPr>
        <w:t xml:space="preserve"> </w:t>
      </w:r>
      <w:r w:rsidR="005F778A" w:rsidRPr="005F778A">
        <w:rPr>
          <w:rFonts w:ascii="Arial" w:hAnsi="Arial" w:cs="Arial"/>
          <w:sz w:val="24"/>
          <w:szCs w:val="24"/>
        </w:rPr>
        <w:t>SYM 2081</w:t>
      </w:r>
      <w:r w:rsidR="005F778A">
        <w:rPr>
          <w:rFonts w:ascii="Arial" w:hAnsi="Arial" w:cs="Arial"/>
          <w:sz w:val="24"/>
          <w:szCs w:val="24"/>
        </w:rPr>
        <w:t xml:space="preserve"> was obtained from TOCRIS.</w:t>
      </w:r>
    </w:p>
    <w:p w:rsidR="005068F3" w:rsidRPr="00782D7B" w:rsidRDefault="005068F3" w:rsidP="008E4CBF">
      <w:pPr>
        <w:spacing w:after="0" w:line="480" w:lineRule="auto"/>
        <w:rPr>
          <w:rFonts w:ascii="Arial" w:hAnsi="Arial" w:cs="Arial"/>
          <w:sz w:val="24"/>
          <w:szCs w:val="24"/>
        </w:rPr>
      </w:pPr>
    </w:p>
    <w:p w:rsidR="00F40787" w:rsidRPr="00782D7B" w:rsidRDefault="00373739" w:rsidP="008E4CBF">
      <w:pPr>
        <w:spacing w:after="0" w:line="480" w:lineRule="auto"/>
        <w:rPr>
          <w:rFonts w:ascii="Arial" w:hAnsi="Arial" w:cs="Arial"/>
          <w:sz w:val="24"/>
          <w:szCs w:val="24"/>
        </w:rPr>
      </w:pPr>
      <w:r>
        <w:rPr>
          <w:rFonts w:ascii="Arial" w:hAnsi="Arial" w:cs="Arial"/>
          <w:b/>
          <w:bCs/>
          <w:sz w:val="24"/>
          <w:szCs w:val="24"/>
        </w:rPr>
        <w:t xml:space="preserve">2.4 </w:t>
      </w:r>
      <w:r w:rsidR="00F40787" w:rsidRPr="00782D7B">
        <w:rPr>
          <w:rFonts w:ascii="Arial" w:hAnsi="Arial" w:cs="Arial"/>
          <w:b/>
          <w:bCs/>
          <w:sz w:val="24"/>
          <w:szCs w:val="24"/>
        </w:rPr>
        <w:t>Statistical analysis</w:t>
      </w:r>
    </w:p>
    <w:p w:rsidR="00A566B7" w:rsidRPr="00782D7B" w:rsidRDefault="00F40787" w:rsidP="008E4CBF">
      <w:pPr>
        <w:spacing w:after="0" w:line="480" w:lineRule="auto"/>
        <w:ind w:firstLine="720"/>
        <w:jc w:val="both"/>
        <w:rPr>
          <w:rFonts w:ascii="Arial" w:hAnsi="Arial" w:cs="Arial"/>
          <w:sz w:val="24"/>
          <w:szCs w:val="24"/>
        </w:rPr>
      </w:pPr>
      <w:r w:rsidRPr="00782D7B">
        <w:rPr>
          <w:rFonts w:ascii="Arial" w:hAnsi="Arial" w:cs="Arial"/>
          <w:sz w:val="24"/>
          <w:szCs w:val="24"/>
        </w:rPr>
        <w:lastRenderedPageBreak/>
        <w:t>A non-parametric analysis (Wilcoxon rank sum) or a parametric Student</w:t>
      </w:r>
      <w:r w:rsidR="00FC6DE7" w:rsidRPr="00782D7B">
        <w:rPr>
          <w:rFonts w:ascii="Arial" w:hAnsi="Arial" w:cs="Arial"/>
          <w:sz w:val="24"/>
          <w:szCs w:val="24"/>
        </w:rPr>
        <w:t xml:space="preserve">’s </w:t>
      </w:r>
      <w:r w:rsidRPr="00782D7B">
        <w:rPr>
          <w:rFonts w:ascii="Arial" w:hAnsi="Arial" w:cs="Arial"/>
          <w:i/>
          <w:sz w:val="24"/>
          <w:szCs w:val="24"/>
        </w:rPr>
        <w:t>t</w:t>
      </w:r>
      <w:r w:rsidR="00FC6DE7" w:rsidRPr="00782D7B">
        <w:rPr>
          <w:rFonts w:ascii="Arial" w:hAnsi="Arial" w:cs="Arial"/>
          <w:sz w:val="24"/>
          <w:szCs w:val="24"/>
        </w:rPr>
        <w:t>-</w:t>
      </w:r>
      <w:r w:rsidRPr="00782D7B">
        <w:rPr>
          <w:rFonts w:ascii="Arial" w:hAnsi="Arial" w:cs="Arial"/>
          <w:sz w:val="24"/>
          <w:szCs w:val="24"/>
        </w:rPr>
        <w:t>test w</w:t>
      </w:r>
      <w:r w:rsidR="00360776">
        <w:rPr>
          <w:rFonts w:ascii="Arial" w:hAnsi="Arial" w:cs="Arial"/>
          <w:sz w:val="24"/>
          <w:szCs w:val="24"/>
        </w:rPr>
        <w:t>as</w:t>
      </w:r>
      <w:r w:rsidRPr="00782D7B">
        <w:rPr>
          <w:rFonts w:ascii="Arial" w:hAnsi="Arial" w:cs="Arial"/>
          <w:sz w:val="24"/>
          <w:szCs w:val="24"/>
        </w:rPr>
        <w:t xml:space="preserve"> used for assigning a significance at a </w:t>
      </w:r>
      <w:r w:rsidR="00FC6DE7" w:rsidRPr="00782D7B">
        <w:rPr>
          <w:rFonts w:ascii="Arial" w:hAnsi="Arial" w:cs="Arial"/>
          <w:sz w:val="24"/>
          <w:szCs w:val="24"/>
        </w:rPr>
        <w:t>p</w:t>
      </w:r>
      <w:r w:rsidRPr="00782D7B">
        <w:rPr>
          <w:rFonts w:ascii="Arial" w:hAnsi="Arial" w:cs="Arial"/>
          <w:sz w:val="24"/>
          <w:szCs w:val="24"/>
        </w:rPr>
        <w:t>&lt;0.05 depending on the appropriate experimental design</w:t>
      </w:r>
      <w:r w:rsidR="00A566B7" w:rsidRPr="00782D7B">
        <w:rPr>
          <w:rFonts w:ascii="Arial" w:hAnsi="Arial" w:cs="Arial"/>
          <w:sz w:val="24"/>
          <w:szCs w:val="24"/>
        </w:rPr>
        <w:t xml:space="preserve"> as explained in the RESULTS section</w:t>
      </w:r>
      <w:r w:rsidRPr="00782D7B">
        <w:rPr>
          <w:rFonts w:ascii="Arial" w:hAnsi="Arial" w:cs="Arial"/>
          <w:sz w:val="24"/>
          <w:szCs w:val="24"/>
        </w:rPr>
        <w:t>.</w:t>
      </w:r>
    </w:p>
    <w:p w:rsidR="00A566B7" w:rsidRPr="00782D7B" w:rsidRDefault="00A566B7" w:rsidP="008E4CBF">
      <w:pPr>
        <w:spacing w:after="0" w:line="480" w:lineRule="auto"/>
        <w:jc w:val="both"/>
        <w:rPr>
          <w:rFonts w:ascii="Arial" w:hAnsi="Arial" w:cs="Arial"/>
          <w:b/>
          <w:sz w:val="24"/>
          <w:szCs w:val="24"/>
        </w:rPr>
      </w:pPr>
    </w:p>
    <w:p w:rsidR="00A566B7" w:rsidRPr="00782D7B" w:rsidRDefault="00373739" w:rsidP="008E4CBF">
      <w:pPr>
        <w:spacing w:after="0" w:line="480" w:lineRule="auto"/>
        <w:jc w:val="both"/>
        <w:rPr>
          <w:rFonts w:ascii="Arial" w:hAnsi="Arial" w:cs="Arial"/>
          <w:b/>
          <w:sz w:val="24"/>
          <w:szCs w:val="24"/>
        </w:rPr>
      </w:pPr>
      <w:r>
        <w:rPr>
          <w:rFonts w:ascii="Arial" w:hAnsi="Arial" w:cs="Arial"/>
          <w:b/>
          <w:sz w:val="24"/>
          <w:szCs w:val="24"/>
        </w:rPr>
        <w:t xml:space="preserve">2.5 </w:t>
      </w:r>
      <w:r w:rsidR="00A566B7" w:rsidRPr="00782D7B">
        <w:rPr>
          <w:rFonts w:ascii="Arial" w:hAnsi="Arial" w:cs="Arial"/>
          <w:b/>
          <w:sz w:val="24"/>
          <w:szCs w:val="24"/>
        </w:rPr>
        <w:t>Sequence Comparisons</w:t>
      </w:r>
    </w:p>
    <w:p w:rsidR="00F05D65" w:rsidRPr="00782D7B" w:rsidRDefault="00F05D65" w:rsidP="008E4CBF">
      <w:pPr>
        <w:spacing w:after="0" w:line="480" w:lineRule="auto"/>
        <w:ind w:firstLine="720"/>
        <w:jc w:val="both"/>
        <w:rPr>
          <w:rFonts w:ascii="Arial" w:hAnsi="Arial" w:cs="Arial"/>
          <w:sz w:val="24"/>
          <w:szCs w:val="24"/>
        </w:rPr>
      </w:pPr>
      <w:r w:rsidRPr="00782D7B">
        <w:rPr>
          <w:rFonts w:ascii="Arial" w:hAnsi="Arial" w:cs="Arial"/>
          <w:sz w:val="24"/>
          <w:szCs w:val="24"/>
        </w:rPr>
        <w:t xml:space="preserve">All of the glutamate receptor amino acid sequences used are annotated in National Center for Biotechnology Information (NCBI) database. There </w:t>
      </w:r>
      <w:r w:rsidR="005068F3" w:rsidRPr="00782D7B">
        <w:rPr>
          <w:rFonts w:ascii="Arial" w:hAnsi="Arial" w:cs="Arial"/>
          <w:sz w:val="24"/>
          <w:szCs w:val="24"/>
        </w:rPr>
        <w:t>a</w:t>
      </w:r>
      <w:r w:rsidRPr="00782D7B">
        <w:rPr>
          <w:rFonts w:ascii="Arial" w:hAnsi="Arial" w:cs="Arial"/>
          <w:sz w:val="24"/>
          <w:szCs w:val="24"/>
        </w:rPr>
        <w:t xml:space="preserve">re 36 different genes encoding 36 different kinds of glutamate receptor subunits in </w:t>
      </w:r>
      <w:r w:rsidRPr="00782D7B">
        <w:rPr>
          <w:rFonts w:ascii="Arial" w:hAnsi="Arial" w:cs="Arial"/>
          <w:i/>
          <w:sz w:val="24"/>
          <w:szCs w:val="24"/>
        </w:rPr>
        <w:t>Drosophila melanogaster</w:t>
      </w:r>
      <w:r w:rsidRPr="00782D7B">
        <w:rPr>
          <w:rFonts w:ascii="Arial" w:hAnsi="Arial" w:cs="Arial"/>
          <w:sz w:val="24"/>
          <w:szCs w:val="24"/>
        </w:rPr>
        <w:t xml:space="preserve">. Among them, five subunits consisting of postsynaptic receptors were compared to five different kainate type glutamate receptor subunits in </w:t>
      </w:r>
      <w:r w:rsidR="005068F3" w:rsidRPr="00782D7B">
        <w:rPr>
          <w:rFonts w:ascii="Arial" w:hAnsi="Arial" w:cs="Arial"/>
          <w:i/>
          <w:sz w:val="24"/>
          <w:szCs w:val="24"/>
        </w:rPr>
        <w:t>H</w:t>
      </w:r>
      <w:r w:rsidRPr="00782D7B">
        <w:rPr>
          <w:rFonts w:ascii="Arial" w:hAnsi="Arial" w:cs="Arial"/>
          <w:i/>
          <w:sz w:val="24"/>
          <w:szCs w:val="24"/>
        </w:rPr>
        <w:t>omo sapiens</w:t>
      </w:r>
      <w:r w:rsidRPr="00782D7B">
        <w:rPr>
          <w:rFonts w:ascii="Arial" w:hAnsi="Arial" w:cs="Arial"/>
          <w:sz w:val="24"/>
          <w:szCs w:val="24"/>
        </w:rPr>
        <w:t xml:space="preserve">. Both whole protein and extracellular domain sequences of each subunit were aligned to show the similarity and calculate the statistical matches between two species, respectively. The bl2seq in NCBI and Clustal W were used to align two different protein sequences. In Clustal W </w:t>
      </w:r>
      <w:r w:rsidR="005068F3" w:rsidRPr="00782D7B">
        <w:rPr>
          <w:rFonts w:ascii="Arial" w:hAnsi="Arial" w:cs="Arial"/>
          <w:sz w:val="24"/>
          <w:szCs w:val="24"/>
        </w:rPr>
        <w:t>the</w:t>
      </w:r>
      <w:r w:rsidRPr="00782D7B">
        <w:rPr>
          <w:rFonts w:ascii="Arial" w:hAnsi="Arial" w:cs="Arial"/>
          <w:sz w:val="24"/>
          <w:szCs w:val="24"/>
        </w:rPr>
        <w:t xml:space="preserve"> default</w:t>
      </w:r>
      <w:r w:rsidR="005068F3" w:rsidRPr="00782D7B">
        <w:rPr>
          <w:rFonts w:ascii="Arial" w:hAnsi="Arial" w:cs="Arial"/>
          <w:sz w:val="24"/>
          <w:szCs w:val="24"/>
        </w:rPr>
        <w:t xml:space="preserve"> settings were used</w:t>
      </w:r>
      <w:r w:rsidRPr="00782D7B">
        <w:rPr>
          <w:rFonts w:ascii="Arial" w:hAnsi="Arial" w:cs="Arial"/>
          <w:sz w:val="24"/>
          <w:szCs w:val="24"/>
        </w:rPr>
        <w:t xml:space="preserve"> except  ITERATION to alignment and NUMERITER </w:t>
      </w:r>
      <w:r w:rsidR="005068F3" w:rsidRPr="00782D7B">
        <w:rPr>
          <w:rFonts w:ascii="Arial" w:hAnsi="Arial" w:cs="Arial"/>
          <w:sz w:val="24"/>
          <w:szCs w:val="24"/>
        </w:rPr>
        <w:t>was set to</w:t>
      </w:r>
      <w:r w:rsidRPr="00782D7B">
        <w:rPr>
          <w:rFonts w:ascii="Arial" w:hAnsi="Arial" w:cs="Arial"/>
          <w:sz w:val="24"/>
          <w:szCs w:val="24"/>
        </w:rPr>
        <w:t xml:space="preserve"> 3. </w:t>
      </w:r>
    </w:p>
    <w:p w:rsidR="00BF2224" w:rsidRPr="00782D7B" w:rsidRDefault="00BF2224" w:rsidP="008E4CBF">
      <w:pPr>
        <w:spacing w:after="0" w:line="480" w:lineRule="auto"/>
        <w:jc w:val="both"/>
        <w:rPr>
          <w:rFonts w:ascii="Arial" w:hAnsi="Arial" w:cs="Arial"/>
          <w:sz w:val="24"/>
          <w:szCs w:val="24"/>
        </w:rPr>
      </w:pPr>
    </w:p>
    <w:p w:rsidR="00A566B7" w:rsidRPr="00782D7B" w:rsidRDefault="00373739" w:rsidP="008E4CBF">
      <w:pPr>
        <w:spacing w:after="0" w:line="480" w:lineRule="auto"/>
        <w:jc w:val="both"/>
        <w:rPr>
          <w:rFonts w:ascii="Arial" w:hAnsi="Arial" w:cs="Arial"/>
          <w:b/>
          <w:sz w:val="24"/>
          <w:szCs w:val="24"/>
        </w:rPr>
      </w:pPr>
      <w:r>
        <w:rPr>
          <w:rFonts w:ascii="Arial" w:hAnsi="Arial" w:cs="Arial"/>
          <w:b/>
          <w:sz w:val="24"/>
          <w:szCs w:val="24"/>
        </w:rPr>
        <w:t xml:space="preserve">3. </w:t>
      </w:r>
      <w:r w:rsidR="00682674" w:rsidRPr="00782D7B">
        <w:rPr>
          <w:rFonts w:ascii="Arial" w:hAnsi="Arial" w:cs="Arial"/>
          <w:b/>
          <w:sz w:val="24"/>
          <w:szCs w:val="24"/>
        </w:rPr>
        <w:t>RESULTS</w:t>
      </w:r>
    </w:p>
    <w:p w:rsidR="00D11328" w:rsidRPr="00782D7B" w:rsidRDefault="00582E9A" w:rsidP="008E4CBF">
      <w:pPr>
        <w:tabs>
          <w:tab w:val="left" w:pos="-1440"/>
        </w:tabs>
        <w:spacing w:line="480" w:lineRule="auto"/>
        <w:jc w:val="both"/>
        <w:rPr>
          <w:rFonts w:ascii="Arial" w:eastAsia="Times New Roman" w:hAnsi="Arial" w:cs="Arial"/>
          <w:sz w:val="24"/>
          <w:szCs w:val="24"/>
        </w:rPr>
      </w:pPr>
      <w:r w:rsidRPr="00782D7B">
        <w:rPr>
          <w:rFonts w:ascii="Arial" w:eastAsia="Times New Roman" w:hAnsi="Arial" w:cs="Arial"/>
          <w:sz w:val="24"/>
          <w:szCs w:val="24"/>
        </w:rPr>
        <w:tab/>
      </w:r>
      <w:r w:rsidR="003A425A" w:rsidRPr="00782D7B">
        <w:rPr>
          <w:rFonts w:ascii="Arial" w:eastAsia="Times New Roman" w:hAnsi="Arial" w:cs="Arial"/>
          <w:sz w:val="24"/>
          <w:szCs w:val="24"/>
        </w:rPr>
        <w:t xml:space="preserve"> </w:t>
      </w:r>
      <w:r w:rsidRPr="00782D7B">
        <w:rPr>
          <w:rFonts w:ascii="Arial" w:eastAsia="Times New Roman" w:hAnsi="Arial" w:cs="Arial"/>
          <w:sz w:val="24"/>
          <w:szCs w:val="24"/>
        </w:rPr>
        <w:t xml:space="preserve">In measuring the evoked EPSPs and spontaneous quantal events a </w:t>
      </w:r>
      <w:r w:rsidR="003A425A" w:rsidRPr="00782D7B">
        <w:rPr>
          <w:rFonts w:ascii="Arial" w:eastAsia="Times New Roman" w:hAnsi="Arial" w:cs="Arial"/>
          <w:sz w:val="24"/>
          <w:szCs w:val="24"/>
        </w:rPr>
        <w:t>3rd instar larvae</w:t>
      </w:r>
      <w:r w:rsidRPr="00782D7B">
        <w:rPr>
          <w:rFonts w:ascii="Arial" w:eastAsia="Times New Roman" w:hAnsi="Arial" w:cs="Arial"/>
          <w:sz w:val="24"/>
          <w:szCs w:val="24"/>
        </w:rPr>
        <w:t xml:space="preserve"> is filleted so that</w:t>
      </w:r>
      <w:r w:rsidR="003A425A" w:rsidRPr="00782D7B">
        <w:rPr>
          <w:rFonts w:ascii="Arial" w:eastAsia="Times New Roman" w:hAnsi="Arial" w:cs="Arial"/>
          <w:sz w:val="24"/>
          <w:szCs w:val="24"/>
        </w:rPr>
        <w:t xml:space="preserve"> each segment</w:t>
      </w:r>
      <w:r w:rsidRPr="00782D7B">
        <w:rPr>
          <w:rFonts w:ascii="Arial" w:eastAsia="Times New Roman" w:hAnsi="Arial" w:cs="Arial"/>
          <w:sz w:val="24"/>
          <w:szCs w:val="24"/>
        </w:rPr>
        <w:t xml:space="preserve"> is observed. By stimulating a selected segmental nerve</w:t>
      </w:r>
      <w:r w:rsidR="00D57B2C" w:rsidRPr="00782D7B">
        <w:rPr>
          <w:rFonts w:ascii="Arial" w:eastAsia="Times New Roman" w:hAnsi="Arial" w:cs="Arial"/>
          <w:sz w:val="24"/>
          <w:szCs w:val="24"/>
        </w:rPr>
        <w:t>,</w:t>
      </w:r>
      <w:r w:rsidRPr="00782D7B">
        <w:rPr>
          <w:rFonts w:ascii="Arial" w:eastAsia="Times New Roman" w:hAnsi="Arial" w:cs="Arial"/>
          <w:sz w:val="24"/>
          <w:szCs w:val="24"/>
        </w:rPr>
        <w:t xml:space="preserve"> only </w:t>
      </w:r>
      <w:r w:rsidR="00D57B2C" w:rsidRPr="00782D7B">
        <w:rPr>
          <w:rFonts w:ascii="Arial" w:eastAsia="Times New Roman" w:hAnsi="Arial" w:cs="Arial"/>
          <w:sz w:val="24"/>
          <w:szCs w:val="24"/>
        </w:rPr>
        <w:t xml:space="preserve">one </w:t>
      </w:r>
      <w:r w:rsidR="003A425A" w:rsidRPr="00782D7B">
        <w:rPr>
          <w:rFonts w:ascii="Arial" w:eastAsia="Times New Roman" w:hAnsi="Arial" w:cs="Arial"/>
          <w:sz w:val="24"/>
          <w:szCs w:val="24"/>
        </w:rPr>
        <w:t xml:space="preserve">nerve root </w:t>
      </w:r>
      <w:r w:rsidR="00D11328" w:rsidRPr="00782D7B">
        <w:rPr>
          <w:rFonts w:ascii="Arial" w:eastAsia="Times New Roman" w:hAnsi="Arial" w:cs="Arial"/>
          <w:sz w:val="24"/>
          <w:szCs w:val="24"/>
        </w:rPr>
        <w:t xml:space="preserve">is recruited which is important since the muscle fibers are electrically coupled between segments. </w:t>
      </w:r>
      <w:r w:rsidR="003A425A" w:rsidRPr="00782D7B">
        <w:rPr>
          <w:rFonts w:ascii="Arial" w:eastAsia="Times New Roman" w:hAnsi="Arial" w:cs="Arial"/>
          <w:sz w:val="24"/>
          <w:szCs w:val="24"/>
        </w:rPr>
        <w:t>V</w:t>
      </w:r>
      <w:r w:rsidR="00D57B2C" w:rsidRPr="00782D7B">
        <w:rPr>
          <w:rFonts w:ascii="Arial" w:eastAsia="Times New Roman" w:hAnsi="Arial" w:cs="Arial"/>
          <w:sz w:val="24"/>
          <w:szCs w:val="24"/>
        </w:rPr>
        <w:t>arious identified muscles with the</w:t>
      </w:r>
      <w:r w:rsidR="003A425A" w:rsidRPr="00782D7B">
        <w:rPr>
          <w:rFonts w:ascii="Arial" w:eastAsia="Times New Roman" w:hAnsi="Arial" w:cs="Arial"/>
          <w:sz w:val="24"/>
          <w:szCs w:val="24"/>
        </w:rPr>
        <w:t xml:space="preserve"> rather simplistic innervation profiles </w:t>
      </w:r>
      <w:r w:rsidR="00D11328" w:rsidRPr="00782D7B">
        <w:rPr>
          <w:rFonts w:ascii="Arial" w:eastAsia="Times New Roman" w:hAnsi="Arial" w:cs="Arial"/>
          <w:sz w:val="24"/>
          <w:szCs w:val="24"/>
        </w:rPr>
        <w:t xml:space="preserve">are shown in </w:t>
      </w:r>
      <w:r w:rsidR="003A425A" w:rsidRPr="00782D7B">
        <w:rPr>
          <w:rFonts w:ascii="Arial" w:eastAsia="Times New Roman" w:hAnsi="Arial" w:cs="Arial"/>
          <w:b/>
          <w:bCs/>
          <w:sz w:val="24"/>
          <w:szCs w:val="24"/>
        </w:rPr>
        <w:t>Fig</w:t>
      </w:r>
      <w:r w:rsidR="00D11328" w:rsidRPr="00782D7B">
        <w:rPr>
          <w:rFonts w:ascii="Arial" w:eastAsia="Times New Roman" w:hAnsi="Arial" w:cs="Arial"/>
          <w:b/>
          <w:bCs/>
          <w:sz w:val="24"/>
          <w:szCs w:val="24"/>
        </w:rPr>
        <w:t>ure</w:t>
      </w:r>
      <w:r w:rsidR="003A425A" w:rsidRPr="00782D7B">
        <w:rPr>
          <w:rFonts w:ascii="Arial" w:eastAsia="Times New Roman" w:hAnsi="Arial" w:cs="Arial"/>
          <w:b/>
          <w:bCs/>
          <w:sz w:val="24"/>
          <w:szCs w:val="24"/>
        </w:rPr>
        <w:t xml:space="preserve"> 1</w:t>
      </w:r>
      <w:r w:rsidR="00D11328" w:rsidRPr="00782D7B">
        <w:rPr>
          <w:rFonts w:ascii="Arial" w:eastAsia="Times New Roman" w:hAnsi="Arial" w:cs="Arial"/>
          <w:b/>
          <w:bCs/>
          <w:sz w:val="24"/>
          <w:szCs w:val="24"/>
        </w:rPr>
        <w:t>A</w:t>
      </w:r>
      <w:r w:rsidR="003A425A" w:rsidRPr="00782D7B">
        <w:rPr>
          <w:rFonts w:ascii="Arial" w:eastAsia="Times New Roman" w:hAnsi="Arial" w:cs="Arial"/>
          <w:sz w:val="24"/>
          <w:szCs w:val="24"/>
        </w:rPr>
        <w:t xml:space="preserve">. In these studies, we utilized muscle 6 (m6) because of the well characterized innervation </w:t>
      </w:r>
      <w:r w:rsidR="00D11328" w:rsidRPr="00782D7B">
        <w:rPr>
          <w:rFonts w:ascii="Arial" w:eastAsia="Times New Roman" w:hAnsi="Arial" w:cs="Arial"/>
          <w:sz w:val="24"/>
          <w:szCs w:val="24"/>
        </w:rPr>
        <w:t xml:space="preserve">as depicted in </w:t>
      </w:r>
      <w:r w:rsidR="00D11328" w:rsidRPr="00782D7B">
        <w:rPr>
          <w:rFonts w:ascii="Arial" w:eastAsia="Times New Roman" w:hAnsi="Arial" w:cs="Arial"/>
          <w:b/>
          <w:bCs/>
          <w:sz w:val="24"/>
          <w:szCs w:val="24"/>
        </w:rPr>
        <w:t>Figure 1B</w:t>
      </w:r>
      <w:r w:rsidR="00D11328" w:rsidRPr="00782D7B">
        <w:rPr>
          <w:rFonts w:ascii="Arial" w:eastAsia="Times New Roman" w:hAnsi="Arial" w:cs="Arial"/>
          <w:bCs/>
          <w:sz w:val="24"/>
          <w:szCs w:val="24"/>
        </w:rPr>
        <w:t xml:space="preserve"> </w:t>
      </w:r>
      <w:r w:rsidR="00D11328" w:rsidRPr="00782D7B">
        <w:rPr>
          <w:rFonts w:ascii="Arial" w:eastAsia="Times New Roman" w:hAnsi="Arial" w:cs="Arial"/>
          <w:bCs/>
          <w:sz w:val="24"/>
          <w:szCs w:val="24"/>
        </w:rPr>
        <w:lastRenderedPageBreak/>
        <w:t>(</w:t>
      </w:r>
      <w:r w:rsidR="00D11328" w:rsidRPr="00782D7B">
        <w:rPr>
          <w:rFonts w:ascii="Arial" w:eastAsia="Times New Roman" w:hAnsi="Arial" w:cs="Arial"/>
          <w:sz w:val="24"/>
          <w:szCs w:val="24"/>
        </w:rPr>
        <w:t>Atwood et al., 1993; Kurdyak et al., 1994; Li et al., 2002). The</w:t>
      </w:r>
      <w:r w:rsidR="003A425A" w:rsidRPr="00782D7B">
        <w:rPr>
          <w:rFonts w:ascii="Arial" w:eastAsia="Times New Roman" w:hAnsi="Arial" w:cs="Arial"/>
          <w:sz w:val="24"/>
          <w:szCs w:val="24"/>
        </w:rPr>
        <w:t xml:space="preserve"> synaptic properties of the Is and Ib motor nerve terminals</w:t>
      </w:r>
      <w:r w:rsidR="00D11328" w:rsidRPr="00782D7B">
        <w:rPr>
          <w:rFonts w:ascii="Arial" w:eastAsia="Times New Roman" w:hAnsi="Arial" w:cs="Arial"/>
          <w:sz w:val="24"/>
          <w:szCs w:val="24"/>
        </w:rPr>
        <w:t xml:space="preserve"> have been previously described</w:t>
      </w:r>
      <w:r w:rsidR="006609B0" w:rsidRPr="00782D7B">
        <w:rPr>
          <w:rFonts w:ascii="Arial" w:eastAsia="Times New Roman" w:hAnsi="Arial" w:cs="Arial"/>
          <w:sz w:val="24"/>
          <w:szCs w:val="24"/>
        </w:rPr>
        <w:t xml:space="preserve">. </w:t>
      </w:r>
      <w:r w:rsidR="00D11328" w:rsidRPr="00782D7B">
        <w:rPr>
          <w:rFonts w:ascii="Arial" w:eastAsia="Times New Roman" w:hAnsi="Arial" w:cs="Arial"/>
          <w:sz w:val="24"/>
          <w:szCs w:val="24"/>
        </w:rPr>
        <w:t xml:space="preserve"> </w:t>
      </w:r>
      <w:r w:rsidR="006609B0" w:rsidRPr="00782D7B">
        <w:rPr>
          <w:rFonts w:ascii="Arial" w:eastAsia="Times New Roman" w:hAnsi="Arial" w:cs="Arial"/>
          <w:sz w:val="24"/>
          <w:szCs w:val="24"/>
        </w:rPr>
        <w:t>W</w:t>
      </w:r>
      <w:r w:rsidR="00D11328" w:rsidRPr="00782D7B">
        <w:rPr>
          <w:rFonts w:ascii="Arial" w:eastAsia="Times New Roman" w:hAnsi="Arial" w:cs="Arial"/>
          <w:sz w:val="24"/>
          <w:szCs w:val="24"/>
        </w:rPr>
        <w:t>e obtained similar measures</w:t>
      </w:r>
      <w:r w:rsidR="006609B0" w:rsidRPr="00782D7B">
        <w:rPr>
          <w:rFonts w:ascii="Arial" w:eastAsia="Times New Roman" w:hAnsi="Arial" w:cs="Arial"/>
          <w:sz w:val="24"/>
          <w:szCs w:val="24"/>
        </w:rPr>
        <w:t xml:space="preserve"> as earlier reported.</w:t>
      </w:r>
      <w:r w:rsidR="00D11328" w:rsidRPr="00782D7B">
        <w:rPr>
          <w:rFonts w:ascii="Arial" w:eastAsia="Times New Roman" w:hAnsi="Arial" w:cs="Arial"/>
          <w:sz w:val="24"/>
          <w:szCs w:val="24"/>
        </w:rPr>
        <w:t xml:space="preserve"> We did ensure to observe all three sized EPSP events (Ib, Is and Ib+Is) in order to </w:t>
      </w:r>
      <w:r w:rsidR="006609B0" w:rsidRPr="00782D7B">
        <w:rPr>
          <w:rFonts w:ascii="Arial" w:eastAsia="Times New Roman" w:hAnsi="Arial" w:cs="Arial"/>
          <w:sz w:val="24"/>
          <w:szCs w:val="24"/>
        </w:rPr>
        <w:t>subsequently</w:t>
      </w:r>
      <w:r w:rsidR="00D11328" w:rsidRPr="00782D7B">
        <w:rPr>
          <w:rFonts w:ascii="Arial" w:eastAsia="Times New Roman" w:hAnsi="Arial" w:cs="Arial"/>
          <w:sz w:val="24"/>
          <w:szCs w:val="24"/>
        </w:rPr>
        <w:t xml:space="preserve"> monitor the compound Ib+Is EPSP. The resting membrane potential was also monitored and only preparations which did not appear damaged or with a resting membrane potential more negative tha</w:t>
      </w:r>
      <w:r w:rsidR="005F5979" w:rsidRPr="00782D7B">
        <w:rPr>
          <w:rFonts w:ascii="Arial" w:eastAsia="Times New Roman" w:hAnsi="Arial" w:cs="Arial"/>
          <w:sz w:val="24"/>
          <w:szCs w:val="24"/>
        </w:rPr>
        <w:t>n</w:t>
      </w:r>
      <w:r w:rsidR="00D11328" w:rsidRPr="00782D7B">
        <w:rPr>
          <w:rFonts w:ascii="Arial" w:eastAsia="Times New Roman" w:hAnsi="Arial" w:cs="Arial"/>
          <w:sz w:val="24"/>
          <w:szCs w:val="24"/>
        </w:rPr>
        <w:t xml:space="preserve"> -50mV, in normal physiological saline, were used for assessing the effects of various pharmacological agents.</w:t>
      </w:r>
    </w:p>
    <w:p w:rsidR="00167DD0" w:rsidRDefault="00D11328" w:rsidP="008E4CBF">
      <w:pPr>
        <w:tabs>
          <w:tab w:val="left" w:pos="-1440"/>
        </w:tabs>
        <w:spacing w:line="480" w:lineRule="auto"/>
        <w:jc w:val="both"/>
        <w:rPr>
          <w:rFonts w:ascii="Arial" w:hAnsi="Arial" w:cs="Arial"/>
          <w:sz w:val="24"/>
          <w:szCs w:val="24"/>
        </w:rPr>
      </w:pPr>
      <w:r w:rsidRPr="00782D7B">
        <w:rPr>
          <w:rFonts w:ascii="Arial" w:eastAsia="Times New Roman" w:hAnsi="Arial" w:cs="Arial"/>
          <w:sz w:val="24"/>
          <w:szCs w:val="24"/>
        </w:rPr>
        <w:tab/>
        <w:t>A</w:t>
      </w:r>
      <w:r w:rsidR="00466177" w:rsidRPr="00782D7B">
        <w:rPr>
          <w:rFonts w:ascii="Arial" w:hAnsi="Arial" w:cs="Arial"/>
          <w:sz w:val="24"/>
          <w:szCs w:val="24"/>
        </w:rPr>
        <w:t xml:space="preserve">pplication of </w:t>
      </w:r>
      <w:r w:rsidR="00084F95" w:rsidRPr="00782D7B">
        <w:rPr>
          <w:rFonts w:ascii="Arial" w:hAnsi="Arial" w:cs="Arial"/>
          <w:sz w:val="24"/>
          <w:szCs w:val="24"/>
        </w:rPr>
        <w:t xml:space="preserve">a saline containing </w:t>
      </w:r>
      <w:r w:rsidR="00466177" w:rsidRPr="00782D7B">
        <w:rPr>
          <w:rFonts w:ascii="Arial" w:hAnsi="Arial" w:cs="Arial"/>
          <w:sz w:val="24"/>
          <w:szCs w:val="24"/>
        </w:rPr>
        <w:t>kainate</w:t>
      </w:r>
      <w:r w:rsidRPr="00782D7B">
        <w:rPr>
          <w:rFonts w:ascii="Arial" w:hAnsi="Arial" w:cs="Arial"/>
          <w:sz w:val="24"/>
          <w:szCs w:val="24"/>
        </w:rPr>
        <w:t xml:space="preserve"> (1mM)</w:t>
      </w:r>
      <w:r w:rsidR="00466177" w:rsidRPr="00782D7B">
        <w:rPr>
          <w:rFonts w:ascii="Arial" w:hAnsi="Arial" w:cs="Arial"/>
          <w:sz w:val="24"/>
          <w:szCs w:val="24"/>
        </w:rPr>
        <w:t xml:space="preserve"> </w:t>
      </w:r>
      <w:r w:rsidR="00084F95" w:rsidRPr="00782D7B">
        <w:rPr>
          <w:rFonts w:ascii="Arial" w:hAnsi="Arial" w:cs="Arial"/>
          <w:sz w:val="24"/>
          <w:szCs w:val="24"/>
        </w:rPr>
        <w:t xml:space="preserve">rapidly </w:t>
      </w:r>
      <w:r w:rsidR="00466177" w:rsidRPr="00782D7B">
        <w:rPr>
          <w:rFonts w:ascii="Arial" w:hAnsi="Arial" w:cs="Arial"/>
          <w:sz w:val="24"/>
          <w:szCs w:val="24"/>
        </w:rPr>
        <w:t xml:space="preserve">reduces the EPSP </w:t>
      </w:r>
      <w:r w:rsidR="00084F95" w:rsidRPr="00782D7B">
        <w:rPr>
          <w:rFonts w:ascii="Arial" w:hAnsi="Arial" w:cs="Arial"/>
          <w:sz w:val="24"/>
          <w:szCs w:val="24"/>
        </w:rPr>
        <w:t xml:space="preserve">amplitude and the effect </w:t>
      </w:r>
      <w:r w:rsidR="00EC5AAE">
        <w:rPr>
          <w:rFonts w:ascii="Arial" w:hAnsi="Arial" w:cs="Arial"/>
          <w:sz w:val="24"/>
          <w:szCs w:val="24"/>
        </w:rPr>
        <w:t>is</w:t>
      </w:r>
      <w:r w:rsidR="00084F95" w:rsidRPr="00782D7B">
        <w:rPr>
          <w:rFonts w:ascii="Arial" w:hAnsi="Arial" w:cs="Arial"/>
          <w:sz w:val="24"/>
          <w:szCs w:val="24"/>
        </w:rPr>
        <w:t xml:space="preserve"> partially reversed by extensive</w:t>
      </w:r>
      <w:r w:rsidR="00A02130">
        <w:rPr>
          <w:rFonts w:ascii="Arial" w:hAnsi="Arial" w:cs="Arial"/>
          <w:sz w:val="24"/>
          <w:szCs w:val="24"/>
        </w:rPr>
        <w:t xml:space="preserve">ly </w:t>
      </w:r>
      <w:r w:rsidR="00084F95" w:rsidRPr="00782D7B">
        <w:rPr>
          <w:rFonts w:ascii="Arial" w:hAnsi="Arial" w:cs="Arial"/>
          <w:sz w:val="24"/>
          <w:szCs w:val="24"/>
        </w:rPr>
        <w:t xml:space="preserve">exchanging the bathing media </w:t>
      </w:r>
      <w:r w:rsidR="005F5979" w:rsidRPr="00782D7B">
        <w:rPr>
          <w:rFonts w:ascii="Arial" w:hAnsi="Arial" w:cs="Arial"/>
          <w:sz w:val="24"/>
          <w:szCs w:val="24"/>
        </w:rPr>
        <w:t>back to</w:t>
      </w:r>
      <w:r w:rsidR="00084F95" w:rsidRPr="00782D7B">
        <w:rPr>
          <w:rFonts w:ascii="Arial" w:hAnsi="Arial" w:cs="Arial"/>
          <w:sz w:val="24"/>
          <w:szCs w:val="24"/>
        </w:rPr>
        <w:t xml:space="preserve"> normal saline (</w:t>
      </w:r>
      <w:r w:rsidR="00084F95" w:rsidRPr="00782D7B">
        <w:rPr>
          <w:rFonts w:ascii="Arial" w:hAnsi="Arial" w:cs="Arial"/>
          <w:b/>
          <w:sz w:val="24"/>
          <w:szCs w:val="24"/>
        </w:rPr>
        <w:t>Figure 2A</w:t>
      </w:r>
      <w:r w:rsidR="00084F95" w:rsidRPr="00782D7B">
        <w:rPr>
          <w:rFonts w:ascii="Arial" w:hAnsi="Arial" w:cs="Arial"/>
          <w:sz w:val="24"/>
          <w:szCs w:val="24"/>
        </w:rPr>
        <w:t xml:space="preserve">). The extant in reduction of the EPSP amplitude is dose-dependent, with an almost </w:t>
      </w:r>
      <w:r w:rsidR="005F5979" w:rsidRPr="00782D7B">
        <w:rPr>
          <w:rFonts w:ascii="Arial" w:hAnsi="Arial" w:cs="Arial"/>
          <w:sz w:val="24"/>
          <w:szCs w:val="24"/>
        </w:rPr>
        <w:t>50</w:t>
      </w:r>
      <w:r w:rsidR="00084F95" w:rsidRPr="00782D7B">
        <w:rPr>
          <w:rFonts w:ascii="Arial" w:hAnsi="Arial" w:cs="Arial"/>
          <w:sz w:val="24"/>
          <w:szCs w:val="24"/>
        </w:rPr>
        <w:t>% reduction at 1mM (</w:t>
      </w:r>
      <w:r w:rsidR="00084F95" w:rsidRPr="00782D7B">
        <w:rPr>
          <w:rFonts w:ascii="Arial" w:hAnsi="Arial" w:cs="Arial"/>
          <w:b/>
          <w:sz w:val="24"/>
          <w:szCs w:val="24"/>
        </w:rPr>
        <w:t>Figure 2B</w:t>
      </w:r>
      <w:r w:rsidR="00084F95" w:rsidRPr="00782D7B">
        <w:rPr>
          <w:rFonts w:ascii="Arial" w:hAnsi="Arial" w:cs="Arial"/>
          <w:sz w:val="24"/>
          <w:szCs w:val="24"/>
        </w:rPr>
        <w:t>). All three concentrations produced a significant reduction in the EPSP amplitudes</w:t>
      </w:r>
      <w:r w:rsidR="001C65F0" w:rsidRPr="00782D7B">
        <w:rPr>
          <w:rFonts w:ascii="Arial" w:hAnsi="Arial" w:cs="Arial"/>
          <w:sz w:val="24"/>
          <w:szCs w:val="24"/>
        </w:rPr>
        <w:t xml:space="preserve"> </w:t>
      </w:r>
      <w:r w:rsidR="00084F95" w:rsidRPr="00782D7B">
        <w:rPr>
          <w:rFonts w:ascii="Arial" w:hAnsi="Arial" w:cs="Arial"/>
          <w:sz w:val="24"/>
          <w:szCs w:val="24"/>
        </w:rPr>
        <w:t>(n=6 for ea</w:t>
      </w:r>
      <w:r w:rsidR="00143E36" w:rsidRPr="00782D7B">
        <w:rPr>
          <w:rFonts w:ascii="Arial" w:hAnsi="Arial" w:cs="Arial"/>
          <w:sz w:val="24"/>
          <w:szCs w:val="24"/>
        </w:rPr>
        <w:t>ch concentration; p&lt;0.05 Wilcoxo</w:t>
      </w:r>
      <w:r w:rsidR="00084F95" w:rsidRPr="00782D7B">
        <w:rPr>
          <w:rFonts w:ascii="Arial" w:hAnsi="Arial" w:cs="Arial"/>
          <w:sz w:val="24"/>
          <w:szCs w:val="24"/>
        </w:rPr>
        <w:t>n rank sum non-parametric). There is no significant effect on th</w:t>
      </w:r>
      <w:r w:rsidR="00EC5AAE">
        <w:rPr>
          <w:rFonts w:ascii="Arial" w:hAnsi="Arial" w:cs="Arial"/>
          <w:sz w:val="24"/>
          <w:szCs w:val="24"/>
        </w:rPr>
        <w:t>e resting membrane potential of</w:t>
      </w:r>
      <w:r w:rsidR="00084F95" w:rsidRPr="00782D7B">
        <w:rPr>
          <w:rFonts w:ascii="Arial" w:hAnsi="Arial" w:cs="Arial"/>
          <w:sz w:val="24"/>
          <w:szCs w:val="24"/>
        </w:rPr>
        <w:t xml:space="preserve"> m6 </w:t>
      </w:r>
      <w:r w:rsidR="001C65F0" w:rsidRPr="00782D7B">
        <w:rPr>
          <w:rFonts w:ascii="Arial" w:hAnsi="Arial" w:cs="Arial"/>
          <w:sz w:val="24"/>
          <w:szCs w:val="24"/>
        </w:rPr>
        <w:t>for</w:t>
      </w:r>
      <w:r w:rsidR="00084F95" w:rsidRPr="00782D7B">
        <w:rPr>
          <w:rFonts w:ascii="Arial" w:hAnsi="Arial" w:cs="Arial"/>
          <w:sz w:val="24"/>
          <w:szCs w:val="24"/>
        </w:rPr>
        <w:t xml:space="preserve"> any of the </w:t>
      </w:r>
      <w:r w:rsidR="001C65F0" w:rsidRPr="00782D7B">
        <w:rPr>
          <w:rFonts w:ascii="Arial" w:hAnsi="Arial" w:cs="Arial"/>
          <w:sz w:val="24"/>
          <w:szCs w:val="24"/>
        </w:rPr>
        <w:t xml:space="preserve">three </w:t>
      </w:r>
      <w:r w:rsidR="00084F95" w:rsidRPr="00782D7B">
        <w:rPr>
          <w:rFonts w:ascii="Arial" w:hAnsi="Arial" w:cs="Arial"/>
          <w:sz w:val="24"/>
          <w:szCs w:val="24"/>
        </w:rPr>
        <w:t>concentrations tested (</w:t>
      </w:r>
      <w:r w:rsidR="00084F95" w:rsidRPr="00782D7B">
        <w:rPr>
          <w:rFonts w:ascii="Arial" w:hAnsi="Arial" w:cs="Arial"/>
          <w:b/>
          <w:sz w:val="24"/>
          <w:szCs w:val="24"/>
        </w:rPr>
        <w:t>Figure 2C</w:t>
      </w:r>
      <w:r w:rsidR="00084F95" w:rsidRPr="00782D7B">
        <w:rPr>
          <w:rFonts w:ascii="Arial" w:hAnsi="Arial" w:cs="Arial"/>
          <w:sz w:val="24"/>
          <w:szCs w:val="24"/>
        </w:rPr>
        <w:t>).</w:t>
      </w:r>
      <w:r w:rsidR="00D57B2C" w:rsidRPr="00782D7B">
        <w:rPr>
          <w:rFonts w:ascii="Arial" w:hAnsi="Arial" w:cs="Arial"/>
          <w:sz w:val="24"/>
          <w:szCs w:val="24"/>
        </w:rPr>
        <w:t xml:space="preserve"> </w:t>
      </w:r>
      <w:r w:rsidR="004B349F" w:rsidRPr="00782D7B">
        <w:rPr>
          <w:rFonts w:ascii="Arial" w:hAnsi="Arial" w:cs="Arial"/>
          <w:sz w:val="24"/>
          <w:szCs w:val="24"/>
        </w:rPr>
        <w:t>However when considering sham control experiments of exchang</w:t>
      </w:r>
      <w:r w:rsidR="00EC5AAE">
        <w:rPr>
          <w:rFonts w:ascii="Arial" w:hAnsi="Arial" w:cs="Arial"/>
          <w:sz w:val="24"/>
          <w:szCs w:val="24"/>
        </w:rPr>
        <w:t>ed</w:t>
      </w:r>
      <w:r w:rsidR="004B349F" w:rsidRPr="00782D7B">
        <w:rPr>
          <w:rFonts w:ascii="Arial" w:hAnsi="Arial" w:cs="Arial"/>
          <w:sz w:val="24"/>
          <w:szCs w:val="24"/>
        </w:rPr>
        <w:t xml:space="preserve">  bathing medium with saline and providing the same </w:t>
      </w:r>
      <w:r w:rsidR="00EC5AAE">
        <w:rPr>
          <w:rFonts w:ascii="Arial" w:hAnsi="Arial" w:cs="Arial"/>
          <w:sz w:val="24"/>
          <w:szCs w:val="24"/>
        </w:rPr>
        <w:t xml:space="preserve">duration of </w:t>
      </w:r>
      <w:r w:rsidR="004B349F" w:rsidRPr="00782D7B">
        <w:rPr>
          <w:rFonts w:ascii="Arial" w:hAnsi="Arial" w:cs="Arial"/>
          <w:sz w:val="24"/>
          <w:szCs w:val="24"/>
        </w:rPr>
        <w:t>time in which EPSP measure</w:t>
      </w:r>
      <w:r w:rsidR="00EC5AAE">
        <w:rPr>
          <w:rFonts w:ascii="Arial" w:hAnsi="Arial" w:cs="Arial"/>
          <w:sz w:val="24"/>
          <w:szCs w:val="24"/>
        </w:rPr>
        <w:t>s</w:t>
      </w:r>
      <w:r w:rsidR="004B349F" w:rsidRPr="00782D7B">
        <w:rPr>
          <w:rFonts w:ascii="Arial" w:hAnsi="Arial" w:cs="Arial"/>
          <w:sz w:val="24"/>
          <w:szCs w:val="24"/>
        </w:rPr>
        <w:t xml:space="preserve"> were made there is </w:t>
      </w:r>
      <w:r w:rsidR="00A02130">
        <w:rPr>
          <w:rFonts w:ascii="Arial" w:hAnsi="Arial" w:cs="Arial"/>
          <w:sz w:val="24"/>
          <w:szCs w:val="24"/>
        </w:rPr>
        <w:t xml:space="preserve">a </w:t>
      </w:r>
      <w:r w:rsidR="004B349F" w:rsidRPr="00782D7B">
        <w:rPr>
          <w:rFonts w:ascii="Arial" w:hAnsi="Arial" w:cs="Arial"/>
          <w:sz w:val="24"/>
          <w:szCs w:val="24"/>
        </w:rPr>
        <w:t>run down in the EPSP amplitude by 13.5% (</w:t>
      </w:r>
      <w:r w:rsidR="004B349F" w:rsidRPr="00782D7B">
        <w:rPr>
          <w:rFonts w:ascii="Arial" w:hAnsi="Arial" w:cs="Arial"/>
          <w:b/>
          <w:sz w:val="24"/>
          <w:szCs w:val="24"/>
        </w:rPr>
        <w:t>Figure 2D</w:t>
      </w:r>
      <w:r w:rsidR="004B349F" w:rsidRPr="00782D7B">
        <w:rPr>
          <w:rFonts w:ascii="Arial" w:hAnsi="Arial" w:cs="Arial"/>
          <w:sz w:val="24"/>
          <w:szCs w:val="24"/>
        </w:rPr>
        <w:t>). The individual values are shown next to the mean value. The sham procedures produced a significant effect i</w:t>
      </w:r>
      <w:r w:rsidR="00A42A7C" w:rsidRPr="00782D7B">
        <w:rPr>
          <w:rFonts w:ascii="Arial" w:hAnsi="Arial" w:cs="Arial"/>
          <w:sz w:val="24"/>
          <w:szCs w:val="24"/>
        </w:rPr>
        <w:t>n reducing the EPSP responses (n</w:t>
      </w:r>
      <w:r w:rsidR="004B349F" w:rsidRPr="00782D7B">
        <w:rPr>
          <w:rFonts w:ascii="Arial" w:hAnsi="Arial" w:cs="Arial"/>
          <w:sz w:val="24"/>
          <w:szCs w:val="24"/>
        </w:rPr>
        <w:t>=6; p&lt;0.05 Wilcoxon rank sum non-parametric).</w:t>
      </w:r>
      <w:r w:rsidR="00167DD0" w:rsidRPr="00782D7B">
        <w:rPr>
          <w:rFonts w:ascii="Arial" w:hAnsi="Arial" w:cs="Arial"/>
          <w:sz w:val="24"/>
          <w:szCs w:val="24"/>
        </w:rPr>
        <w:t xml:space="preserve"> The mean value was not subtracted from experimental conditions with pharmacological agents in the remaining results, but </w:t>
      </w:r>
      <w:r w:rsidR="00A02130">
        <w:rPr>
          <w:rFonts w:ascii="Arial" w:hAnsi="Arial" w:cs="Arial"/>
          <w:sz w:val="24"/>
          <w:szCs w:val="24"/>
        </w:rPr>
        <w:t xml:space="preserve">used to compare </w:t>
      </w:r>
      <w:r w:rsidR="00167DD0" w:rsidRPr="00782D7B">
        <w:rPr>
          <w:rFonts w:ascii="Arial" w:hAnsi="Arial" w:cs="Arial"/>
          <w:sz w:val="24"/>
          <w:szCs w:val="24"/>
        </w:rPr>
        <w:t>th</w:t>
      </w:r>
      <w:r w:rsidR="00A02130">
        <w:rPr>
          <w:rFonts w:ascii="Arial" w:hAnsi="Arial" w:cs="Arial"/>
          <w:sz w:val="24"/>
          <w:szCs w:val="24"/>
        </w:rPr>
        <w:t>e</w:t>
      </w:r>
      <w:r w:rsidR="00167DD0" w:rsidRPr="00782D7B">
        <w:rPr>
          <w:rFonts w:ascii="Arial" w:hAnsi="Arial" w:cs="Arial"/>
          <w:sz w:val="24"/>
          <w:szCs w:val="24"/>
        </w:rPr>
        <w:t xml:space="preserve"> effect</w:t>
      </w:r>
      <w:r w:rsidR="00A02130">
        <w:rPr>
          <w:rFonts w:ascii="Arial" w:hAnsi="Arial" w:cs="Arial"/>
          <w:sz w:val="24"/>
          <w:szCs w:val="24"/>
        </w:rPr>
        <w:t xml:space="preserve"> to pharmacological agents</w:t>
      </w:r>
      <w:r w:rsidR="00167DD0" w:rsidRPr="00782D7B">
        <w:rPr>
          <w:rFonts w:ascii="Arial" w:hAnsi="Arial" w:cs="Arial"/>
          <w:sz w:val="24"/>
          <w:szCs w:val="24"/>
        </w:rPr>
        <w:t>.</w:t>
      </w:r>
      <w:r w:rsidR="00B95300" w:rsidRPr="00782D7B">
        <w:rPr>
          <w:rFonts w:ascii="Arial" w:hAnsi="Arial" w:cs="Arial"/>
          <w:sz w:val="24"/>
          <w:szCs w:val="24"/>
        </w:rPr>
        <w:t xml:space="preserve"> Thus, exposure to 500µM and 1mM kainate </w:t>
      </w:r>
      <w:r w:rsidR="00B95300" w:rsidRPr="00782D7B">
        <w:rPr>
          <w:rFonts w:ascii="Arial" w:hAnsi="Arial" w:cs="Arial"/>
          <w:sz w:val="24"/>
          <w:szCs w:val="24"/>
        </w:rPr>
        <w:lastRenderedPageBreak/>
        <w:t>produced a significant difference from sham control whereas 100µM did not</w:t>
      </w:r>
      <w:r w:rsidR="00ED78C2" w:rsidRPr="00782D7B">
        <w:rPr>
          <w:rFonts w:ascii="Arial" w:hAnsi="Arial" w:cs="Arial"/>
          <w:sz w:val="24"/>
          <w:szCs w:val="24"/>
        </w:rPr>
        <w:t xml:space="preserve"> (p&lt;0.05 Student’s </w:t>
      </w:r>
      <w:r w:rsidR="00ED78C2" w:rsidRPr="00782D7B">
        <w:rPr>
          <w:rFonts w:ascii="Arial" w:hAnsi="Arial" w:cs="Arial"/>
          <w:i/>
          <w:sz w:val="24"/>
          <w:szCs w:val="24"/>
        </w:rPr>
        <w:t>t</w:t>
      </w:r>
      <w:r w:rsidR="00ED78C2" w:rsidRPr="00782D7B">
        <w:rPr>
          <w:rFonts w:ascii="Arial" w:hAnsi="Arial" w:cs="Arial"/>
          <w:sz w:val="24"/>
          <w:szCs w:val="24"/>
        </w:rPr>
        <w:t>-test)</w:t>
      </w:r>
      <w:r w:rsidR="00B95300" w:rsidRPr="00782D7B">
        <w:rPr>
          <w:rFonts w:ascii="Arial" w:hAnsi="Arial" w:cs="Arial"/>
          <w:sz w:val="24"/>
          <w:szCs w:val="24"/>
        </w:rPr>
        <w:t>.</w:t>
      </w:r>
    </w:p>
    <w:p w:rsidR="00BC316B" w:rsidRPr="00782D7B" w:rsidRDefault="00BC316B" w:rsidP="00BC316B">
      <w:pPr>
        <w:tabs>
          <w:tab w:val="left" w:pos="-1440"/>
        </w:tabs>
        <w:spacing w:line="480" w:lineRule="auto"/>
        <w:jc w:val="both"/>
        <w:rPr>
          <w:rFonts w:ascii="Arial" w:hAnsi="Arial" w:cs="Arial"/>
          <w:sz w:val="24"/>
          <w:szCs w:val="24"/>
        </w:rPr>
      </w:pPr>
      <w:r w:rsidRPr="00782D7B">
        <w:rPr>
          <w:rFonts w:ascii="Arial" w:hAnsi="Arial" w:cs="Arial"/>
          <w:sz w:val="24"/>
          <w:szCs w:val="24"/>
        </w:rPr>
        <w:tab/>
        <w:t>Similar results were obtained for domoic acid as for kainate. The mEPSP amplitudes and the frequency are reduced (</w:t>
      </w:r>
      <w:r w:rsidRPr="00782D7B">
        <w:rPr>
          <w:rFonts w:ascii="Arial" w:hAnsi="Arial" w:cs="Arial"/>
          <w:b/>
          <w:sz w:val="24"/>
          <w:szCs w:val="24"/>
        </w:rPr>
        <w:t xml:space="preserve">Figure </w:t>
      </w:r>
      <w:r w:rsidR="00DF0AD6">
        <w:rPr>
          <w:rFonts w:ascii="Arial" w:hAnsi="Arial" w:cs="Arial"/>
          <w:b/>
          <w:sz w:val="24"/>
          <w:szCs w:val="24"/>
        </w:rPr>
        <w:t>3</w:t>
      </w:r>
      <w:r w:rsidRPr="00782D7B">
        <w:rPr>
          <w:rFonts w:ascii="Arial" w:hAnsi="Arial" w:cs="Arial"/>
          <w:b/>
          <w:sz w:val="24"/>
          <w:szCs w:val="24"/>
        </w:rPr>
        <w:t xml:space="preserve"> A, B</w:t>
      </w:r>
      <w:r w:rsidRPr="00782D7B">
        <w:rPr>
          <w:rFonts w:ascii="Arial" w:hAnsi="Arial" w:cs="Arial"/>
          <w:sz w:val="24"/>
          <w:szCs w:val="24"/>
        </w:rPr>
        <w:t xml:space="preserve">). </w:t>
      </w:r>
      <w:r w:rsidR="000473F0">
        <w:rPr>
          <w:rFonts w:ascii="Arial" w:hAnsi="Arial" w:cs="Arial"/>
          <w:sz w:val="24"/>
          <w:szCs w:val="24"/>
        </w:rPr>
        <w:t xml:space="preserve"> </w:t>
      </w:r>
      <w:r w:rsidRPr="00782D7B">
        <w:rPr>
          <w:rFonts w:ascii="Arial" w:hAnsi="Arial" w:cs="Arial"/>
          <w:sz w:val="24"/>
          <w:szCs w:val="24"/>
        </w:rPr>
        <w:t>Also the resting membrane potential is not significantly altered. In examining subtle effects on single quantal events the shape of the quantal events were examined. The amplitude and area (i.e., area under the curve) of the mEPSPs both decreased in a dose-dependent manner for 1mM and 500μM (</w:t>
      </w:r>
      <w:r w:rsidR="008F0F65">
        <w:rPr>
          <w:rFonts w:ascii="Arial" w:hAnsi="Arial" w:cs="Arial"/>
          <w:b/>
          <w:sz w:val="24"/>
          <w:szCs w:val="24"/>
        </w:rPr>
        <w:t>Figure 3</w:t>
      </w:r>
      <w:r w:rsidRPr="00782D7B">
        <w:rPr>
          <w:rFonts w:ascii="Arial" w:hAnsi="Arial" w:cs="Arial"/>
          <w:b/>
          <w:sz w:val="24"/>
          <w:szCs w:val="24"/>
        </w:rPr>
        <w:t>C</w:t>
      </w:r>
      <w:r w:rsidRPr="00782D7B">
        <w:rPr>
          <w:rFonts w:ascii="Arial" w:hAnsi="Arial" w:cs="Arial"/>
          <w:sz w:val="24"/>
          <w:szCs w:val="24"/>
        </w:rPr>
        <w:t xml:space="preserve">). With exposure to kainate, the smaller mEPSPs appeared to fade into the background noise while the previously larger mEPSPs events </w:t>
      </w:r>
      <w:r w:rsidR="00A02130">
        <w:rPr>
          <w:rFonts w:ascii="Arial" w:hAnsi="Arial" w:cs="Arial"/>
          <w:sz w:val="24"/>
          <w:szCs w:val="24"/>
        </w:rPr>
        <w:t>are</w:t>
      </w:r>
      <w:r w:rsidRPr="00782D7B">
        <w:rPr>
          <w:rFonts w:ascii="Arial" w:hAnsi="Arial" w:cs="Arial"/>
          <w:sz w:val="24"/>
          <w:szCs w:val="24"/>
        </w:rPr>
        <w:t xml:space="preserve"> </w:t>
      </w:r>
      <w:r w:rsidR="00B702FD">
        <w:rPr>
          <w:rFonts w:ascii="Arial" w:hAnsi="Arial" w:cs="Arial"/>
          <w:sz w:val="24"/>
          <w:szCs w:val="24"/>
        </w:rPr>
        <w:t xml:space="preserve">likely </w:t>
      </w:r>
      <w:r w:rsidRPr="00782D7B">
        <w:rPr>
          <w:rFonts w:ascii="Arial" w:hAnsi="Arial" w:cs="Arial"/>
          <w:sz w:val="24"/>
          <w:szCs w:val="24"/>
        </w:rPr>
        <w:t xml:space="preserve">observed as smaller mEPSPs. </w:t>
      </w:r>
    </w:p>
    <w:p w:rsidR="002A47CC" w:rsidRPr="00782D7B" w:rsidRDefault="00167DD0" w:rsidP="008E4CBF">
      <w:pPr>
        <w:tabs>
          <w:tab w:val="left" w:pos="-1440"/>
        </w:tabs>
        <w:spacing w:line="480" w:lineRule="auto"/>
        <w:jc w:val="both"/>
        <w:rPr>
          <w:rFonts w:ascii="Arial" w:hAnsi="Arial" w:cs="Arial"/>
          <w:sz w:val="24"/>
          <w:szCs w:val="24"/>
        </w:rPr>
      </w:pPr>
      <w:r w:rsidRPr="00782D7B">
        <w:rPr>
          <w:rFonts w:ascii="Arial" w:hAnsi="Arial" w:cs="Arial"/>
          <w:sz w:val="24"/>
          <w:szCs w:val="24"/>
        </w:rPr>
        <w:tab/>
      </w:r>
      <w:r w:rsidR="00D57B2C" w:rsidRPr="00782D7B">
        <w:rPr>
          <w:rFonts w:ascii="Arial" w:hAnsi="Arial" w:cs="Arial"/>
          <w:sz w:val="24"/>
          <w:szCs w:val="24"/>
        </w:rPr>
        <w:t xml:space="preserve">In examining the </w:t>
      </w:r>
      <w:r w:rsidR="00A73A79" w:rsidRPr="00782D7B">
        <w:rPr>
          <w:rFonts w:ascii="Arial" w:hAnsi="Arial" w:cs="Arial"/>
          <w:sz w:val="24"/>
          <w:szCs w:val="24"/>
        </w:rPr>
        <w:t xml:space="preserve">effects of the </w:t>
      </w:r>
      <w:r w:rsidR="00D57B2C" w:rsidRPr="00782D7B">
        <w:rPr>
          <w:rFonts w:ascii="Arial" w:hAnsi="Arial" w:cs="Arial"/>
          <w:sz w:val="24"/>
          <w:szCs w:val="24"/>
        </w:rPr>
        <w:t xml:space="preserve">AMPA and </w:t>
      </w:r>
      <w:r w:rsidR="00006B90">
        <w:rPr>
          <w:rFonts w:ascii="Arial" w:hAnsi="Arial" w:cs="Arial"/>
          <w:sz w:val="24"/>
          <w:szCs w:val="24"/>
        </w:rPr>
        <w:t xml:space="preserve">the </w:t>
      </w:r>
      <w:r w:rsidR="00D57B2C" w:rsidRPr="00782D7B">
        <w:rPr>
          <w:rFonts w:ascii="Arial" w:hAnsi="Arial" w:cs="Arial"/>
          <w:sz w:val="24"/>
          <w:szCs w:val="24"/>
        </w:rPr>
        <w:t>kainate receptor agonist, domoic acid (</w:t>
      </w:r>
      <w:r w:rsidR="00A73A79" w:rsidRPr="00782D7B">
        <w:rPr>
          <w:rFonts w:ascii="Arial" w:hAnsi="Arial" w:cs="Arial"/>
          <w:sz w:val="24"/>
          <w:szCs w:val="24"/>
        </w:rPr>
        <w:t>10</w:t>
      </w:r>
      <w:r w:rsidR="00407C8D" w:rsidRPr="00782D7B">
        <w:rPr>
          <w:rFonts w:ascii="Arial" w:hAnsi="Arial" w:cs="Arial"/>
          <w:sz w:val="24"/>
          <w:szCs w:val="24"/>
        </w:rPr>
        <w:t>μ</w:t>
      </w:r>
      <w:r w:rsidR="00A73A79" w:rsidRPr="00782D7B">
        <w:rPr>
          <w:rFonts w:ascii="Arial" w:hAnsi="Arial" w:cs="Arial"/>
          <w:sz w:val="24"/>
          <w:szCs w:val="24"/>
        </w:rPr>
        <w:t>m and 1mM</w:t>
      </w:r>
      <w:r w:rsidR="00D57B2C" w:rsidRPr="00782D7B">
        <w:rPr>
          <w:rFonts w:ascii="Arial" w:hAnsi="Arial" w:cs="Arial"/>
          <w:sz w:val="24"/>
          <w:szCs w:val="24"/>
        </w:rPr>
        <w:t xml:space="preserve">), </w:t>
      </w:r>
      <w:r w:rsidR="00A73A79" w:rsidRPr="00782D7B">
        <w:rPr>
          <w:rFonts w:ascii="Arial" w:hAnsi="Arial" w:cs="Arial"/>
          <w:sz w:val="24"/>
          <w:szCs w:val="24"/>
        </w:rPr>
        <w:t xml:space="preserve">the </w:t>
      </w:r>
      <w:r w:rsidR="00D57B2C" w:rsidRPr="00782D7B">
        <w:rPr>
          <w:rFonts w:ascii="Arial" w:hAnsi="Arial" w:cs="Arial"/>
          <w:sz w:val="24"/>
          <w:szCs w:val="24"/>
        </w:rPr>
        <w:t>postsynaptic receptor sensitivity to spontaneous quantal responses and the frequency of spontaneous events</w:t>
      </w:r>
      <w:r w:rsidR="00A73A79" w:rsidRPr="00782D7B">
        <w:rPr>
          <w:rFonts w:ascii="Arial" w:hAnsi="Arial" w:cs="Arial"/>
          <w:sz w:val="24"/>
          <w:szCs w:val="24"/>
        </w:rPr>
        <w:t xml:space="preserve"> were assessed.</w:t>
      </w:r>
      <w:r w:rsidR="00D57B2C" w:rsidRPr="00782D7B">
        <w:rPr>
          <w:rFonts w:ascii="Arial" w:hAnsi="Arial" w:cs="Arial"/>
          <w:sz w:val="24"/>
          <w:szCs w:val="24"/>
        </w:rPr>
        <w:t xml:space="preserve"> </w:t>
      </w:r>
      <w:r w:rsidR="00A73A79" w:rsidRPr="00782D7B">
        <w:rPr>
          <w:rFonts w:ascii="Arial" w:hAnsi="Arial" w:cs="Arial"/>
          <w:sz w:val="24"/>
          <w:szCs w:val="24"/>
        </w:rPr>
        <w:t>I</w:t>
      </w:r>
      <w:r w:rsidR="00D57B2C" w:rsidRPr="00782D7B">
        <w:rPr>
          <w:rFonts w:ascii="Arial" w:hAnsi="Arial" w:cs="Arial"/>
          <w:sz w:val="24"/>
          <w:szCs w:val="24"/>
        </w:rPr>
        <w:t xml:space="preserve">t was readily apparent that </w:t>
      </w:r>
      <w:r w:rsidR="008F0F65">
        <w:rPr>
          <w:rFonts w:ascii="ArialMT" w:hAnsi="ArialMT" w:cs="ArialMT"/>
          <w:sz w:val="24"/>
        </w:rPr>
        <w:t>for kainate</w:t>
      </w:r>
      <w:r w:rsidR="00006B90">
        <w:rPr>
          <w:rFonts w:ascii="ArialMT" w:hAnsi="ArialMT" w:cs="ArialMT"/>
          <w:sz w:val="24"/>
        </w:rPr>
        <w:t>,</w:t>
      </w:r>
      <w:r w:rsidR="008F0F65">
        <w:rPr>
          <w:rFonts w:ascii="ArialMT" w:hAnsi="ArialMT" w:cs="ArialMT"/>
          <w:sz w:val="24"/>
        </w:rPr>
        <w:t xml:space="preserve"> as for domoic acid</w:t>
      </w:r>
      <w:r w:rsidR="00006B90">
        <w:rPr>
          <w:rFonts w:ascii="ArialMT" w:hAnsi="ArialMT" w:cs="ArialMT"/>
          <w:sz w:val="24"/>
        </w:rPr>
        <w:t>,</w:t>
      </w:r>
      <w:r w:rsidR="008F0F65" w:rsidRPr="00782D7B">
        <w:rPr>
          <w:rFonts w:ascii="Arial" w:hAnsi="Arial" w:cs="Arial"/>
          <w:sz w:val="24"/>
          <w:szCs w:val="24"/>
        </w:rPr>
        <w:t xml:space="preserve"> </w:t>
      </w:r>
      <w:r w:rsidR="00A73A79" w:rsidRPr="00782D7B">
        <w:rPr>
          <w:rFonts w:ascii="Arial" w:hAnsi="Arial" w:cs="Arial"/>
          <w:sz w:val="24"/>
          <w:szCs w:val="24"/>
        </w:rPr>
        <w:t xml:space="preserve">a 1mM rapidly </w:t>
      </w:r>
      <w:r w:rsidR="00D57B2C" w:rsidRPr="00782D7B">
        <w:rPr>
          <w:rFonts w:ascii="Arial" w:hAnsi="Arial" w:cs="Arial"/>
          <w:sz w:val="24"/>
          <w:szCs w:val="24"/>
        </w:rPr>
        <w:t>reduced the amplitude of spontaneous</w:t>
      </w:r>
      <w:r w:rsidR="00407C8D" w:rsidRPr="00782D7B">
        <w:rPr>
          <w:rFonts w:ascii="Arial" w:hAnsi="Arial" w:cs="Arial"/>
          <w:sz w:val="24"/>
          <w:szCs w:val="24"/>
        </w:rPr>
        <w:t xml:space="preserve"> mEPSP</w:t>
      </w:r>
      <w:r w:rsidR="00D57B2C" w:rsidRPr="00782D7B">
        <w:rPr>
          <w:rFonts w:ascii="Arial" w:hAnsi="Arial" w:cs="Arial"/>
          <w:sz w:val="24"/>
          <w:szCs w:val="24"/>
        </w:rPr>
        <w:t xml:space="preserve"> quantal events (</w:t>
      </w:r>
      <w:r w:rsidR="00D57B2C" w:rsidRPr="00782D7B">
        <w:rPr>
          <w:rFonts w:ascii="Arial" w:hAnsi="Arial" w:cs="Arial"/>
          <w:b/>
          <w:sz w:val="24"/>
          <w:szCs w:val="24"/>
        </w:rPr>
        <w:t xml:space="preserve">Figure </w:t>
      </w:r>
      <w:r w:rsidR="00DF0AD6">
        <w:rPr>
          <w:rFonts w:ascii="Arial" w:hAnsi="Arial" w:cs="Arial"/>
          <w:b/>
          <w:sz w:val="24"/>
          <w:szCs w:val="24"/>
        </w:rPr>
        <w:t>4</w:t>
      </w:r>
      <w:r w:rsidR="00D57B2C" w:rsidRPr="00782D7B">
        <w:rPr>
          <w:rFonts w:ascii="Arial" w:hAnsi="Arial" w:cs="Arial"/>
          <w:b/>
          <w:sz w:val="24"/>
          <w:szCs w:val="24"/>
        </w:rPr>
        <w:t>A</w:t>
      </w:r>
      <w:r w:rsidR="00D57B2C" w:rsidRPr="00782D7B">
        <w:rPr>
          <w:rFonts w:ascii="Arial" w:hAnsi="Arial" w:cs="Arial"/>
          <w:sz w:val="24"/>
          <w:szCs w:val="24"/>
        </w:rPr>
        <w:t>) as well as the frequency of occurrences (</w:t>
      </w:r>
      <w:r w:rsidR="00D57B2C" w:rsidRPr="00782D7B">
        <w:rPr>
          <w:rFonts w:ascii="Arial" w:hAnsi="Arial" w:cs="Arial"/>
          <w:b/>
          <w:sz w:val="24"/>
          <w:szCs w:val="24"/>
        </w:rPr>
        <w:t>Figure 3B</w:t>
      </w:r>
      <w:r w:rsidR="00D57B2C" w:rsidRPr="00782D7B">
        <w:rPr>
          <w:rFonts w:ascii="Arial" w:hAnsi="Arial" w:cs="Arial"/>
          <w:sz w:val="24"/>
          <w:szCs w:val="24"/>
        </w:rPr>
        <w:t xml:space="preserve">). </w:t>
      </w:r>
      <w:r w:rsidR="00407C8D" w:rsidRPr="00782D7B">
        <w:rPr>
          <w:rFonts w:ascii="Arial" w:hAnsi="Arial" w:cs="Arial"/>
          <w:sz w:val="24"/>
          <w:szCs w:val="24"/>
        </w:rPr>
        <w:t>Domoic acid at 1</w:t>
      </w:r>
      <w:r w:rsidR="0085211B" w:rsidRPr="00782D7B">
        <w:rPr>
          <w:rFonts w:ascii="Arial" w:hAnsi="Arial" w:cs="Arial"/>
          <w:sz w:val="24"/>
          <w:szCs w:val="24"/>
        </w:rPr>
        <w:t>0</w:t>
      </w:r>
      <w:r w:rsidR="00407C8D" w:rsidRPr="00782D7B">
        <w:rPr>
          <w:rFonts w:ascii="Arial" w:hAnsi="Arial" w:cs="Arial"/>
          <w:sz w:val="24"/>
          <w:szCs w:val="24"/>
        </w:rPr>
        <w:t xml:space="preserve">μM </w:t>
      </w:r>
      <w:r w:rsidR="0085211B" w:rsidRPr="00782D7B">
        <w:rPr>
          <w:rFonts w:ascii="Arial" w:hAnsi="Arial" w:cs="Arial"/>
          <w:sz w:val="24"/>
          <w:szCs w:val="24"/>
        </w:rPr>
        <w:t xml:space="preserve">or 1 mM </w:t>
      </w:r>
      <w:r w:rsidR="008F0F65">
        <w:rPr>
          <w:rFonts w:ascii="Arial" w:hAnsi="Arial" w:cs="Arial"/>
          <w:sz w:val="24"/>
          <w:szCs w:val="24"/>
        </w:rPr>
        <w:t>had little</w:t>
      </w:r>
      <w:r w:rsidR="00407C8D" w:rsidRPr="00782D7B">
        <w:rPr>
          <w:rFonts w:ascii="Arial" w:hAnsi="Arial" w:cs="Arial"/>
          <w:sz w:val="24"/>
          <w:szCs w:val="24"/>
        </w:rPr>
        <w:t xml:space="preserve"> effect on the</w:t>
      </w:r>
      <w:r w:rsidR="00752172" w:rsidRPr="00782D7B">
        <w:rPr>
          <w:rFonts w:ascii="Arial" w:hAnsi="Arial" w:cs="Arial"/>
          <w:sz w:val="24"/>
          <w:szCs w:val="24"/>
        </w:rPr>
        <w:t xml:space="preserve"> resting membrane potential</w:t>
      </w:r>
      <w:r w:rsidR="00407C8D" w:rsidRPr="00782D7B">
        <w:rPr>
          <w:rFonts w:ascii="Arial" w:hAnsi="Arial" w:cs="Arial"/>
          <w:sz w:val="24"/>
          <w:szCs w:val="24"/>
        </w:rPr>
        <w:t xml:space="preserve"> (</w:t>
      </w:r>
      <w:r w:rsidR="00407C8D" w:rsidRPr="00782D7B">
        <w:rPr>
          <w:rFonts w:ascii="Arial" w:hAnsi="Arial" w:cs="Arial"/>
          <w:b/>
          <w:sz w:val="24"/>
          <w:szCs w:val="24"/>
        </w:rPr>
        <w:t xml:space="preserve">Figure </w:t>
      </w:r>
      <w:r w:rsidR="00DF0AD6">
        <w:rPr>
          <w:rFonts w:ascii="Arial" w:hAnsi="Arial" w:cs="Arial"/>
          <w:b/>
          <w:sz w:val="24"/>
          <w:szCs w:val="24"/>
        </w:rPr>
        <w:t>4</w:t>
      </w:r>
      <w:r w:rsidR="00752172" w:rsidRPr="00782D7B">
        <w:rPr>
          <w:rFonts w:ascii="Arial" w:hAnsi="Arial" w:cs="Arial"/>
          <w:b/>
          <w:sz w:val="24"/>
          <w:szCs w:val="24"/>
        </w:rPr>
        <w:t>C</w:t>
      </w:r>
      <w:r w:rsidR="00407C8D" w:rsidRPr="00782D7B">
        <w:rPr>
          <w:rFonts w:ascii="Arial" w:hAnsi="Arial" w:cs="Arial"/>
          <w:sz w:val="24"/>
          <w:szCs w:val="24"/>
        </w:rPr>
        <w:t>). Glutamate at 10</w:t>
      </w:r>
      <w:r w:rsidR="0085211B" w:rsidRPr="00782D7B">
        <w:rPr>
          <w:rFonts w:ascii="Arial" w:hAnsi="Arial" w:cs="Arial"/>
          <w:sz w:val="24"/>
          <w:szCs w:val="24"/>
        </w:rPr>
        <w:t>mM</w:t>
      </w:r>
      <w:r w:rsidR="00407C8D" w:rsidRPr="00782D7B">
        <w:rPr>
          <w:rFonts w:ascii="Arial" w:hAnsi="Arial" w:cs="Arial"/>
          <w:sz w:val="24"/>
          <w:szCs w:val="24"/>
        </w:rPr>
        <w:t xml:space="preserve"> produced similar effects in reducing the mEPSP amplitude and frequency but this was compounded by the rapid depolarization that glutamate produced (</w:t>
      </w:r>
      <w:r w:rsidR="002A47CC" w:rsidRPr="00782D7B">
        <w:rPr>
          <w:rFonts w:ascii="Arial" w:hAnsi="Arial" w:cs="Arial"/>
          <w:sz w:val="24"/>
          <w:szCs w:val="24"/>
        </w:rPr>
        <w:t xml:space="preserve">p&lt;0.05; </w:t>
      </w:r>
      <w:r w:rsidR="00407C8D" w:rsidRPr="00782D7B">
        <w:rPr>
          <w:rFonts w:ascii="Arial" w:hAnsi="Arial" w:cs="Arial"/>
          <w:b/>
          <w:sz w:val="24"/>
          <w:szCs w:val="24"/>
        </w:rPr>
        <w:t xml:space="preserve">Figure </w:t>
      </w:r>
      <w:r w:rsidR="00DF0AD6">
        <w:rPr>
          <w:rFonts w:ascii="Arial" w:hAnsi="Arial" w:cs="Arial"/>
          <w:b/>
          <w:sz w:val="24"/>
          <w:szCs w:val="24"/>
        </w:rPr>
        <w:t>4</w:t>
      </w:r>
      <w:r w:rsidR="00407C8D" w:rsidRPr="00782D7B">
        <w:rPr>
          <w:rFonts w:ascii="Arial" w:hAnsi="Arial" w:cs="Arial"/>
          <w:b/>
          <w:sz w:val="24"/>
          <w:szCs w:val="24"/>
        </w:rPr>
        <w:t>C</w:t>
      </w:r>
      <w:r w:rsidR="00407C8D" w:rsidRPr="00782D7B">
        <w:rPr>
          <w:rFonts w:ascii="Arial" w:hAnsi="Arial" w:cs="Arial"/>
          <w:sz w:val="24"/>
          <w:szCs w:val="24"/>
        </w:rPr>
        <w:t>). The differences in the AMPA and kainate recepto</w:t>
      </w:r>
      <w:r w:rsidR="008F0F65">
        <w:rPr>
          <w:rFonts w:ascii="Arial" w:hAnsi="Arial" w:cs="Arial"/>
          <w:sz w:val="24"/>
          <w:szCs w:val="24"/>
        </w:rPr>
        <w:t>r agonist and glutamate is that</w:t>
      </w:r>
      <w:r w:rsidR="00407C8D" w:rsidRPr="00782D7B">
        <w:rPr>
          <w:rFonts w:ascii="Arial" w:hAnsi="Arial" w:cs="Arial"/>
          <w:sz w:val="24"/>
          <w:szCs w:val="24"/>
        </w:rPr>
        <w:t xml:space="preserve"> domoic acid did not significantly depolarize the muscle; however, the mEPSPs were still affected. The combination of domoic acid (1mM) and glutamate (10mM) produced a reduced depolarization of the muscle and as expected</w:t>
      </w:r>
      <w:r w:rsidR="00FC6DE7" w:rsidRPr="00782D7B">
        <w:rPr>
          <w:rFonts w:ascii="Arial" w:hAnsi="Arial" w:cs="Arial"/>
          <w:sz w:val="24"/>
          <w:szCs w:val="24"/>
        </w:rPr>
        <w:t>,</w:t>
      </w:r>
      <w:r w:rsidR="00407C8D" w:rsidRPr="00782D7B">
        <w:rPr>
          <w:rFonts w:ascii="Arial" w:hAnsi="Arial" w:cs="Arial"/>
          <w:sz w:val="24"/>
          <w:szCs w:val="24"/>
        </w:rPr>
        <w:t xml:space="preserve"> a reduced mEPSP amplitude and </w:t>
      </w:r>
      <w:r w:rsidR="00407C8D" w:rsidRPr="00782D7B">
        <w:rPr>
          <w:rFonts w:ascii="Arial" w:hAnsi="Arial" w:cs="Arial"/>
          <w:sz w:val="24"/>
          <w:szCs w:val="24"/>
        </w:rPr>
        <w:lastRenderedPageBreak/>
        <w:t>frequency</w:t>
      </w:r>
      <w:r w:rsidR="00FC6DE7" w:rsidRPr="00782D7B">
        <w:rPr>
          <w:rFonts w:ascii="Arial" w:hAnsi="Arial" w:cs="Arial"/>
          <w:sz w:val="24"/>
          <w:szCs w:val="24"/>
        </w:rPr>
        <w:t xml:space="preserve"> occurred</w:t>
      </w:r>
      <w:r w:rsidR="00407C8D" w:rsidRPr="00782D7B">
        <w:rPr>
          <w:rFonts w:ascii="Arial" w:hAnsi="Arial" w:cs="Arial"/>
          <w:sz w:val="24"/>
          <w:szCs w:val="24"/>
        </w:rPr>
        <w:t xml:space="preserve"> (</w:t>
      </w:r>
      <w:r w:rsidR="00407C8D" w:rsidRPr="00782D7B">
        <w:rPr>
          <w:rFonts w:ascii="Arial" w:hAnsi="Arial" w:cs="Arial"/>
          <w:b/>
          <w:sz w:val="24"/>
          <w:szCs w:val="24"/>
        </w:rPr>
        <w:t xml:space="preserve">Figure </w:t>
      </w:r>
      <w:r w:rsidR="00DF0AD6">
        <w:rPr>
          <w:rFonts w:ascii="Arial" w:hAnsi="Arial" w:cs="Arial"/>
          <w:b/>
          <w:sz w:val="24"/>
          <w:szCs w:val="24"/>
        </w:rPr>
        <w:t>4</w:t>
      </w:r>
      <w:r w:rsidR="00407C8D" w:rsidRPr="00782D7B">
        <w:rPr>
          <w:rFonts w:ascii="Arial" w:hAnsi="Arial" w:cs="Arial"/>
          <w:b/>
          <w:sz w:val="24"/>
          <w:szCs w:val="24"/>
        </w:rPr>
        <w:t>B,C</w:t>
      </w:r>
      <w:r w:rsidR="00407C8D" w:rsidRPr="00782D7B">
        <w:rPr>
          <w:rFonts w:ascii="Arial" w:hAnsi="Arial" w:cs="Arial"/>
          <w:sz w:val="24"/>
          <w:szCs w:val="24"/>
        </w:rPr>
        <w:t xml:space="preserve">). These results suggest domoic acid is an antagonist to the postsynaptic glutamate receptors. The effect on the reduced frequency of the mEPSPs is due to the </w:t>
      </w:r>
      <w:r w:rsidR="002A47CC" w:rsidRPr="00782D7B">
        <w:rPr>
          <w:rFonts w:ascii="Arial" w:hAnsi="Arial" w:cs="Arial"/>
          <w:sz w:val="24"/>
          <w:szCs w:val="24"/>
        </w:rPr>
        <w:t xml:space="preserve">gradual </w:t>
      </w:r>
      <w:r w:rsidR="00407C8D" w:rsidRPr="00782D7B">
        <w:rPr>
          <w:rFonts w:ascii="Arial" w:hAnsi="Arial" w:cs="Arial"/>
          <w:sz w:val="24"/>
          <w:szCs w:val="24"/>
        </w:rPr>
        <w:t xml:space="preserve">reduction in the </w:t>
      </w:r>
      <w:r w:rsidR="002A47CC" w:rsidRPr="00782D7B">
        <w:rPr>
          <w:rFonts w:ascii="Arial" w:hAnsi="Arial" w:cs="Arial"/>
          <w:sz w:val="24"/>
          <w:szCs w:val="24"/>
        </w:rPr>
        <w:t xml:space="preserve">mEPSP </w:t>
      </w:r>
      <w:r w:rsidR="00407C8D" w:rsidRPr="00782D7B">
        <w:rPr>
          <w:rFonts w:ascii="Arial" w:hAnsi="Arial" w:cs="Arial"/>
          <w:sz w:val="24"/>
          <w:szCs w:val="24"/>
        </w:rPr>
        <w:t>amplitude</w:t>
      </w:r>
      <w:r w:rsidR="002A47CC" w:rsidRPr="00782D7B">
        <w:rPr>
          <w:rFonts w:ascii="Arial" w:hAnsi="Arial" w:cs="Arial"/>
          <w:sz w:val="24"/>
          <w:szCs w:val="24"/>
        </w:rPr>
        <w:t>, such that they are not discernable from noise in the baseline and thus are not detected</w:t>
      </w:r>
      <w:r w:rsidR="00B80D14" w:rsidRPr="00782D7B">
        <w:rPr>
          <w:rFonts w:ascii="Arial" w:hAnsi="Arial" w:cs="Arial"/>
          <w:sz w:val="24"/>
          <w:szCs w:val="24"/>
        </w:rPr>
        <w:t xml:space="preserve"> to monitor their frequency</w:t>
      </w:r>
      <w:r w:rsidR="002A47CC" w:rsidRPr="00782D7B">
        <w:rPr>
          <w:rFonts w:ascii="Arial" w:hAnsi="Arial" w:cs="Arial"/>
          <w:sz w:val="24"/>
          <w:szCs w:val="24"/>
        </w:rPr>
        <w:t>.</w:t>
      </w:r>
    </w:p>
    <w:p w:rsidR="002A47CC" w:rsidRPr="00042E20" w:rsidRDefault="002A47CC" w:rsidP="00042E20">
      <w:pPr>
        <w:tabs>
          <w:tab w:val="left" w:pos="-1440"/>
        </w:tabs>
        <w:spacing w:after="0" w:line="480" w:lineRule="auto"/>
        <w:jc w:val="both"/>
        <w:rPr>
          <w:rFonts w:ascii="Arial" w:hAnsi="Arial" w:cs="Arial"/>
          <w:sz w:val="24"/>
          <w:szCs w:val="24"/>
        </w:rPr>
      </w:pPr>
      <w:r w:rsidRPr="00782D7B">
        <w:rPr>
          <w:rFonts w:ascii="Arial" w:hAnsi="Arial" w:cs="Arial"/>
          <w:sz w:val="24"/>
          <w:szCs w:val="24"/>
        </w:rPr>
        <w:tab/>
        <w:t>Since the postsynaptic glutamate receptors on the muscle appear</w:t>
      </w:r>
      <w:r w:rsidR="008F0F65">
        <w:rPr>
          <w:rFonts w:ascii="Arial" w:hAnsi="Arial" w:cs="Arial"/>
          <w:sz w:val="24"/>
          <w:szCs w:val="24"/>
        </w:rPr>
        <w:t>ed</w:t>
      </w:r>
      <w:r w:rsidRPr="00782D7B">
        <w:rPr>
          <w:rFonts w:ascii="Arial" w:hAnsi="Arial" w:cs="Arial"/>
          <w:sz w:val="24"/>
          <w:szCs w:val="24"/>
        </w:rPr>
        <w:t xml:space="preserve"> to bind kainate, we expected the known agonist</w:t>
      </w:r>
      <w:r w:rsidRPr="00782D7B">
        <w:rPr>
          <w:rFonts w:ascii="Arial" w:hAnsi="Arial" w:cs="Arial"/>
          <w:sz w:val="24"/>
          <w:szCs w:val="24"/>
        </w:rPr>
        <w:tab/>
      </w:r>
      <w:r w:rsidR="00FC6DE7" w:rsidRPr="00782D7B">
        <w:rPr>
          <w:rFonts w:ascii="Arial" w:hAnsi="Arial" w:cs="Arial"/>
          <w:sz w:val="24"/>
          <w:szCs w:val="24"/>
        </w:rPr>
        <w:t xml:space="preserve">of </w:t>
      </w:r>
      <w:r w:rsidRPr="00782D7B">
        <w:rPr>
          <w:rFonts w:ascii="Arial" w:hAnsi="Arial" w:cs="Arial"/>
          <w:sz w:val="24"/>
          <w:szCs w:val="24"/>
        </w:rPr>
        <w:t xml:space="preserve">kainate receptors </w:t>
      </w:r>
      <w:r w:rsidR="008F0F65">
        <w:rPr>
          <w:rFonts w:ascii="Arial" w:hAnsi="Arial" w:cs="Arial"/>
          <w:sz w:val="24"/>
          <w:szCs w:val="24"/>
        </w:rPr>
        <w:t>‘</w:t>
      </w:r>
      <w:r w:rsidRPr="00782D7B">
        <w:rPr>
          <w:rFonts w:ascii="Arial" w:hAnsi="Arial" w:cs="Arial"/>
          <w:sz w:val="24"/>
          <w:szCs w:val="24"/>
        </w:rPr>
        <w:t>ATPA</w:t>
      </w:r>
      <w:r w:rsidR="008F0F65">
        <w:rPr>
          <w:rFonts w:ascii="Arial" w:hAnsi="Arial" w:cs="Arial"/>
          <w:sz w:val="24"/>
          <w:szCs w:val="24"/>
        </w:rPr>
        <w:t>’</w:t>
      </w:r>
      <w:r w:rsidRPr="00782D7B">
        <w:rPr>
          <w:rFonts w:ascii="Arial" w:hAnsi="Arial" w:cs="Arial"/>
          <w:sz w:val="24"/>
          <w:szCs w:val="24"/>
        </w:rPr>
        <w:t xml:space="preserve"> to act similarly, despite knowing </w:t>
      </w:r>
      <w:r w:rsidR="006D7126" w:rsidRPr="00782D7B">
        <w:rPr>
          <w:rFonts w:ascii="Arial" w:hAnsi="Arial" w:cs="Arial"/>
          <w:sz w:val="24"/>
          <w:szCs w:val="24"/>
        </w:rPr>
        <w:t xml:space="preserve">that </w:t>
      </w:r>
      <w:r w:rsidRPr="00782D7B">
        <w:rPr>
          <w:rFonts w:ascii="Arial" w:hAnsi="Arial" w:cs="Arial"/>
          <w:sz w:val="24"/>
          <w:szCs w:val="24"/>
        </w:rPr>
        <w:t>the receptors are not a kainate subtype. ATP</w:t>
      </w:r>
      <w:r w:rsidR="00A97065">
        <w:rPr>
          <w:rFonts w:ascii="Arial" w:hAnsi="Arial" w:cs="Arial"/>
          <w:sz w:val="24"/>
          <w:szCs w:val="24"/>
        </w:rPr>
        <w:t>A</w:t>
      </w:r>
      <w:r w:rsidRPr="00782D7B">
        <w:rPr>
          <w:rFonts w:ascii="Arial" w:hAnsi="Arial" w:cs="Arial"/>
          <w:sz w:val="24"/>
          <w:szCs w:val="24"/>
        </w:rPr>
        <w:t xml:space="preserve"> at 1mM did not reduce the evoked EPSPs (</w:t>
      </w:r>
      <w:r w:rsidRPr="00782D7B">
        <w:rPr>
          <w:rFonts w:ascii="Arial" w:hAnsi="Arial" w:cs="Arial"/>
          <w:b/>
          <w:sz w:val="24"/>
          <w:szCs w:val="24"/>
        </w:rPr>
        <w:t>Figure 5A,</w:t>
      </w:r>
      <w:r w:rsidR="00A97065">
        <w:rPr>
          <w:rFonts w:ascii="Arial" w:hAnsi="Arial" w:cs="Arial"/>
          <w:b/>
          <w:sz w:val="24"/>
          <w:szCs w:val="24"/>
        </w:rPr>
        <w:t xml:space="preserve"> </w:t>
      </w:r>
      <w:r w:rsidRPr="00782D7B">
        <w:rPr>
          <w:rFonts w:ascii="Arial" w:hAnsi="Arial" w:cs="Arial"/>
          <w:b/>
          <w:sz w:val="24"/>
          <w:szCs w:val="24"/>
        </w:rPr>
        <w:t>B</w:t>
      </w:r>
      <w:r w:rsidRPr="00782D7B">
        <w:rPr>
          <w:rFonts w:ascii="Arial" w:hAnsi="Arial" w:cs="Arial"/>
          <w:sz w:val="24"/>
          <w:szCs w:val="24"/>
        </w:rPr>
        <w:t>) nor did ATPA have any effect on the resting membrane potential (</w:t>
      </w:r>
      <w:r w:rsidRPr="00782D7B">
        <w:rPr>
          <w:rFonts w:ascii="Arial" w:hAnsi="Arial" w:cs="Arial"/>
          <w:b/>
          <w:sz w:val="24"/>
          <w:szCs w:val="24"/>
        </w:rPr>
        <w:t>Figure 5C</w:t>
      </w:r>
      <w:r w:rsidRPr="00782D7B">
        <w:rPr>
          <w:rFonts w:ascii="Arial" w:hAnsi="Arial" w:cs="Arial"/>
          <w:sz w:val="24"/>
          <w:szCs w:val="24"/>
        </w:rPr>
        <w:t xml:space="preserve">). </w:t>
      </w:r>
      <w:r w:rsidR="00073586" w:rsidRPr="00782D7B">
        <w:rPr>
          <w:rFonts w:ascii="Arial" w:hAnsi="Arial" w:cs="Arial"/>
          <w:sz w:val="24"/>
          <w:szCs w:val="24"/>
        </w:rPr>
        <w:t xml:space="preserve"> </w:t>
      </w:r>
      <w:r w:rsidR="006D7126" w:rsidRPr="00782D7B">
        <w:rPr>
          <w:rFonts w:ascii="Arial" w:hAnsi="Arial" w:cs="Arial"/>
          <w:sz w:val="24"/>
          <w:szCs w:val="24"/>
        </w:rPr>
        <w:t xml:space="preserve">In fact, some preparations increased in the EPSP </w:t>
      </w:r>
      <w:r w:rsidR="006D7126" w:rsidRPr="00042E20">
        <w:rPr>
          <w:rFonts w:ascii="Arial" w:hAnsi="Arial" w:cs="Arial"/>
          <w:sz w:val="24"/>
          <w:szCs w:val="24"/>
        </w:rPr>
        <w:t xml:space="preserve">amplitude while others decreased, thus producing no net </w:t>
      </w:r>
      <w:r w:rsidR="00AD624C" w:rsidRPr="00042E20">
        <w:rPr>
          <w:rFonts w:ascii="Arial" w:hAnsi="Arial" w:cs="Arial"/>
          <w:sz w:val="24"/>
          <w:szCs w:val="24"/>
        </w:rPr>
        <w:t xml:space="preserve">significant </w:t>
      </w:r>
      <w:r w:rsidR="006D7126" w:rsidRPr="00042E20">
        <w:rPr>
          <w:rFonts w:ascii="Arial" w:hAnsi="Arial" w:cs="Arial"/>
          <w:sz w:val="24"/>
          <w:szCs w:val="24"/>
        </w:rPr>
        <w:t xml:space="preserve">effect.  </w:t>
      </w:r>
      <w:r w:rsidR="00360776">
        <w:rPr>
          <w:rFonts w:ascii="Arial" w:hAnsi="Arial" w:cs="Arial"/>
          <w:sz w:val="24"/>
          <w:szCs w:val="24"/>
        </w:rPr>
        <w:t>Since there was no significant effect</w:t>
      </w:r>
      <w:r w:rsidR="0078798B">
        <w:rPr>
          <w:rFonts w:ascii="Arial" w:hAnsi="Arial" w:cs="Arial"/>
          <w:sz w:val="24"/>
          <w:szCs w:val="24"/>
        </w:rPr>
        <w:t xml:space="preserve"> mEPSPs were not analyzed.</w:t>
      </w:r>
    </w:p>
    <w:p w:rsidR="00085AE3" w:rsidRPr="000129F5" w:rsidRDefault="000A36A8" w:rsidP="000129F5">
      <w:pPr>
        <w:pStyle w:val="authors1"/>
        <w:spacing w:before="0" w:line="480" w:lineRule="auto"/>
        <w:ind w:left="0"/>
        <w:jc w:val="both"/>
        <w:rPr>
          <w:rFonts w:ascii="TimesNewRomanPSMT" w:hAnsi="TimesNewRomanPSMT" w:cs="TimesNewRomanPSMT"/>
          <w:sz w:val="24"/>
        </w:rPr>
      </w:pPr>
      <w:r w:rsidRPr="00042E20">
        <w:rPr>
          <w:rFonts w:ascii="Arial" w:hAnsi="Arial" w:cs="Arial"/>
          <w:sz w:val="24"/>
          <w:szCs w:val="24"/>
        </w:rPr>
        <w:tab/>
      </w:r>
      <w:r w:rsidR="00A25697" w:rsidRPr="00042E20">
        <w:rPr>
          <w:rFonts w:ascii="Arial" w:hAnsi="Arial" w:cs="Arial"/>
          <w:sz w:val="24"/>
          <w:szCs w:val="24"/>
        </w:rPr>
        <w:t xml:space="preserve">To broaden the survey of pharmacological agents we used </w:t>
      </w:r>
      <w:r w:rsidR="00A25697" w:rsidRPr="00042E20">
        <w:rPr>
          <w:rFonts w:ascii="Arial" w:hAnsi="Arial" w:cs="Arial"/>
          <w:bCs/>
          <w:kern w:val="36"/>
          <w:sz w:val="24"/>
          <w:szCs w:val="24"/>
        </w:rPr>
        <w:t>SYM 2081,  which is a p</w:t>
      </w:r>
      <w:r w:rsidR="00A25697" w:rsidRPr="00042E20">
        <w:rPr>
          <w:rFonts w:ascii="Arial" w:hAnsi="Arial" w:cs="Arial"/>
          <w:sz w:val="24"/>
          <w:szCs w:val="24"/>
        </w:rPr>
        <w:t>otent and highly selective kainate receptor agonist, with an IC</w:t>
      </w:r>
      <w:r w:rsidR="00A25697" w:rsidRPr="00042E20">
        <w:rPr>
          <w:rFonts w:ascii="Arial" w:hAnsi="Arial" w:cs="Arial"/>
          <w:sz w:val="24"/>
          <w:szCs w:val="24"/>
          <w:vertAlign w:val="subscript"/>
        </w:rPr>
        <w:t xml:space="preserve">50 </w:t>
      </w:r>
      <w:r w:rsidR="00A25697" w:rsidRPr="00042E20">
        <w:rPr>
          <w:rFonts w:ascii="Arial" w:hAnsi="Arial" w:cs="Arial"/>
          <w:sz w:val="24"/>
          <w:szCs w:val="24"/>
        </w:rPr>
        <w:t>for inhibition of [</w:t>
      </w:r>
      <w:r w:rsidR="00A25697" w:rsidRPr="00042E20">
        <w:rPr>
          <w:rFonts w:ascii="Arial" w:hAnsi="Arial" w:cs="Arial"/>
          <w:sz w:val="24"/>
          <w:szCs w:val="24"/>
          <w:vertAlign w:val="superscript"/>
        </w:rPr>
        <w:t>3</w:t>
      </w:r>
      <w:r w:rsidR="00A25697" w:rsidRPr="00042E20">
        <w:rPr>
          <w:rFonts w:ascii="Arial" w:hAnsi="Arial" w:cs="Arial"/>
          <w:sz w:val="24"/>
          <w:szCs w:val="24"/>
        </w:rPr>
        <w:t>H]-kainate binding of 35 nM and almost 3,000- and 200-fold selectivity for kainate receptors over AMPA and NMDA receptors respectively. In addition, we examined a selective allosteric AMPA receptor antagonist GYKI 52466 (Lodge,  2009). But GYKI 52466 at even 100μM would not dissolve in HL3 saline. Th</w:t>
      </w:r>
      <w:r w:rsidR="00A97065">
        <w:rPr>
          <w:rFonts w:ascii="Arial" w:hAnsi="Arial" w:cs="Arial"/>
          <w:sz w:val="24"/>
          <w:szCs w:val="24"/>
        </w:rPr>
        <w:t>is</w:t>
      </w:r>
      <w:r w:rsidR="00A25697" w:rsidRPr="00042E20">
        <w:rPr>
          <w:rFonts w:ascii="Arial" w:hAnsi="Arial" w:cs="Arial"/>
          <w:sz w:val="24"/>
          <w:szCs w:val="24"/>
        </w:rPr>
        <w:t xml:space="preserve"> might be due the salt concentration and solubility in HL3 compared to water. </w:t>
      </w:r>
      <w:r w:rsidR="00360776">
        <w:rPr>
          <w:rFonts w:ascii="Arial" w:hAnsi="Arial" w:cs="Arial"/>
          <w:sz w:val="24"/>
          <w:szCs w:val="24"/>
        </w:rPr>
        <w:t xml:space="preserve">So we could not further assess the actions of GYKI 52466 as it would not disolve in the media. </w:t>
      </w:r>
      <w:r w:rsidR="00A25697" w:rsidRPr="00042E20">
        <w:rPr>
          <w:rFonts w:ascii="Arial" w:hAnsi="Arial" w:cs="Arial"/>
          <w:sz w:val="24"/>
          <w:szCs w:val="24"/>
        </w:rPr>
        <w:t xml:space="preserve">As far as we know, these compounds have not been tried before at the </w:t>
      </w:r>
      <w:r w:rsidR="00A25697" w:rsidRPr="00042E20">
        <w:rPr>
          <w:rFonts w:ascii="Arial" w:hAnsi="Arial" w:cs="Arial"/>
          <w:i/>
          <w:sz w:val="24"/>
          <w:szCs w:val="24"/>
        </w:rPr>
        <w:t>Drosophila</w:t>
      </w:r>
      <w:r w:rsidR="00A25697" w:rsidRPr="00042E20">
        <w:rPr>
          <w:rFonts w:ascii="Arial" w:hAnsi="Arial" w:cs="Arial"/>
          <w:sz w:val="24"/>
          <w:szCs w:val="24"/>
        </w:rPr>
        <w:t xml:space="preserve"> NMJ</w:t>
      </w:r>
      <w:r w:rsidR="00042E20" w:rsidRPr="00042E20">
        <w:rPr>
          <w:rFonts w:ascii="Arial" w:hAnsi="Arial" w:cs="Arial"/>
          <w:sz w:val="24"/>
          <w:szCs w:val="24"/>
        </w:rPr>
        <w:t>. Surprisingly</w:t>
      </w:r>
      <w:r w:rsidR="00A25697" w:rsidRPr="00042E20">
        <w:rPr>
          <w:rFonts w:ascii="TimesNewRomanPSMT" w:hAnsi="TimesNewRomanPSMT" w:cs="TimesNewRomanPSMT"/>
          <w:sz w:val="24"/>
        </w:rPr>
        <w:t>, SYM2081 at 1mM depolarized the muscle in 6 out of 6 preparations</w:t>
      </w:r>
      <w:r w:rsidR="00042E20" w:rsidRPr="00042E20">
        <w:rPr>
          <w:rFonts w:ascii="TimesNewRomanPSMT" w:hAnsi="TimesNewRomanPSMT" w:cs="TimesNewRomanPSMT"/>
          <w:sz w:val="24"/>
        </w:rPr>
        <w:t xml:space="preserve"> </w:t>
      </w:r>
      <w:r w:rsidR="00042E20" w:rsidRPr="00042E20">
        <w:rPr>
          <w:rFonts w:ascii="Arial" w:hAnsi="Arial" w:cs="Arial"/>
          <w:sz w:val="24"/>
          <w:szCs w:val="24"/>
        </w:rPr>
        <w:t>(</w:t>
      </w:r>
      <w:r w:rsidR="00042E20" w:rsidRPr="00042E20">
        <w:rPr>
          <w:rFonts w:ascii="Arial" w:hAnsi="Arial" w:cs="Arial"/>
          <w:b/>
          <w:sz w:val="24"/>
          <w:szCs w:val="24"/>
        </w:rPr>
        <w:t>Figure 6</w:t>
      </w:r>
      <w:r w:rsidR="00042E20">
        <w:rPr>
          <w:rFonts w:ascii="Arial" w:hAnsi="Arial" w:cs="Arial"/>
          <w:b/>
          <w:sz w:val="24"/>
          <w:szCs w:val="24"/>
        </w:rPr>
        <w:t>A</w:t>
      </w:r>
      <w:r w:rsidR="00042E20" w:rsidRPr="00042E20">
        <w:rPr>
          <w:rFonts w:ascii="Arial" w:hAnsi="Arial" w:cs="Arial"/>
          <w:sz w:val="24"/>
          <w:szCs w:val="24"/>
        </w:rPr>
        <w:t>; n=6; p&lt;0.05 Wilcoxon rank sum non-parametric)</w:t>
      </w:r>
      <w:r w:rsidR="00A25697" w:rsidRPr="00042E20">
        <w:rPr>
          <w:rFonts w:ascii="TimesNewRomanPSMT" w:hAnsi="TimesNewRomanPSMT" w:cs="TimesNewRomanPSMT"/>
          <w:sz w:val="24"/>
        </w:rPr>
        <w:t xml:space="preserve">. On average there was a 12% increase </w:t>
      </w:r>
      <w:r w:rsidR="00A25697" w:rsidRPr="00042E20">
        <w:rPr>
          <w:rFonts w:ascii="TimesNewRomanPSMT" w:hAnsi="TimesNewRomanPSMT" w:cs="TimesNewRomanPSMT"/>
          <w:sz w:val="24"/>
        </w:rPr>
        <w:lastRenderedPageBreak/>
        <w:t xml:space="preserve">(less negative) in the resting membrane potential (a 100% </w:t>
      </w:r>
      <w:r w:rsidR="00042E20">
        <w:rPr>
          <w:rFonts w:ascii="TimesNewRomanPSMT" w:hAnsi="TimesNewRomanPSMT" w:cs="TimesNewRomanPSMT"/>
          <w:sz w:val="24"/>
        </w:rPr>
        <w:t>change would be considered 0mV)</w:t>
      </w:r>
      <w:r w:rsidR="00042E20">
        <w:rPr>
          <w:rFonts w:ascii="Arial" w:hAnsi="Arial" w:cs="Arial"/>
          <w:sz w:val="24"/>
          <w:szCs w:val="24"/>
        </w:rPr>
        <w:t>.</w:t>
      </w:r>
      <w:r w:rsidR="00A25697" w:rsidRPr="00042E20">
        <w:rPr>
          <w:rFonts w:ascii="TimesNewRomanPSMT" w:hAnsi="TimesNewRomanPSMT" w:cs="TimesNewRomanPSMT"/>
          <w:sz w:val="24"/>
        </w:rPr>
        <w:t xml:space="preserve"> Th</w:t>
      </w:r>
      <w:r w:rsidR="00042E20" w:rsidRPr="00042E20">
        <w:rPr>
          <w:rFonts w:ascii="TimesNewRomanPSMT" w:hAnsi="TimesNewRomanPSMT" w:cs="TimesNewRomanPSMT"/>
          <w:sz w:val="24"/>
        </w:rPr>
        <w:t>e SYM</w:t>
      </w:r>
      <w:r w:rsidR="00360776">
        <w:rPr>
          <w:rFonts w:ascii="TimesNewRomanPSMT" w:hAnsi="TimesNewRomanPSMT" w:cs="TimesNewRomanPSMT"/>
          <w:sz w:val="24"/>
        </w:rPr>
        <w:t xml:space="preserve"> </w:t>
      </w:r>
      <w:r w:rsidR="00042E20" w:rsidRPr="00042E20">
        <w:rPr>
          <w:rFonts w:ascii="TimesNewRomanPSMT" w:hAnsi="TimesNewRomanPSMT" w:cs="TimesNewRomanPSMT"/>
          <w:sz w:val="24"/>
        </w:rPr>
        <w:t>2081 (1mM)</w:t>
      </w:r>
      <w:r w:rsidR="00A25697" w:rsidRPr="00042E20">
        <w:rPr>
          <w:rFonts w:ascii="TimesNewRomanPSMT" w:hAnsi="TimesNewRomanPSMT" w:cs="TimesNewRomanPSMT"/>
          <w:sz w:val="24"/>
        </w:rPr>
        <w:t xml:space="preserve"> also presented a 40% decrease in the EPSP amplitude which was more of a decrease than expected given and slight depolarization in the muscle</w:t>
      </w:r>
      <w:r w:rsidR="004E226F">
        <w:rPr>
          <w:rFonts w:ascii="TimesNewRomanPSMT" w:hAnsi="TimesNewRomanPSMT" w:cs="TimesNewRomanPSMT"/>
          <w:sz w:val="24"/>
        </w:rPr>
        <w:t xml:space="preserve"> </w:t>
      </w:r>
      <w:r w:rsidR="004E226F" w:rsidRPr="00042E20">
        <w:rPr>
          <w:rFonts w:ascii="Arial" w:hAnsi="Arial" w:cs="Arial"/>
          <w:sz w:val="24"/>
          <w:szCs w:val="24"/>
        </w:rPr>
        <w:t>(</w:t>
      </w:r>
      <w:r w:rsidR="004E226F" w:rsidRPr="00042E20">
        <w:rPr>
          <w:rFonts w:ascii="Arial" w:hAnsi="Arial" w:cs="Arial"/>
          <w:b/>
          <w:sz w:val="24"/>
          <w:szCs w:val="24"/>
        </w:rPr>
        <w:t>Figure 6</w:t>
      </w:r>
      <w:r w:rsidR="004E226F">
        <w:rPr>
          <w:rFonts w:ascii="Arial" w:hAnsi="Arial" w:cs="Arial"/>
          <w:b/>
          <w:sz w:val="24"/>
          <w:szCs w:val="24"/>
        </w:rPr>
        <w:t>B</w:t>
      </w:r>
      <w:r w:rsidR="004E226F" w:rsidRPr="00042E20">
        <w:rPr>
          <w:rFonts w:ascii="Arial" w:hAnsi="Arial" w:cs="Arial"/>
          <w:sz w:val="24"/>
          <w:szCs w:val="24"/>
        </w:rPr>
        <w:t>; n=6; p&lt;0.05 Wilcoxon rank sum non-parametric)</w:t>
      </w:r>
      <w:r w:rsidR="00A25697" w:rsidRPr="00042E20">
        <w:rPr>
          <w:rFonts w:ascii="TimesNewRomanPSMT" w:hAnsi="TimesNewRomanPSMT" w:cs="TimesNewRomanPSMT"/>
          <w:sz w:val="24"/>
        </w:rPr>
        <w:t>. However, SYM</w:t>
      </w:r>
      <w:r w:rsidR="00360776">
        <w:rPr>
          <w:rFonts w:ascii="TimesNewRomanPSMT" w:hAnsi="TimesNewRomanPSMT" w:cs="TimesNewRomanPSMT"/>
          <w:sz w:val="24"/>
        </w:rPr>
        <w:t xml:space="preserve"> </w:t>
      </w:r>
      <w:r w:rsidR="00A25697" w:rsidRPr="00042E20">
        <w:rPr>
          <w:rFonts w:ascii="TimesNewRomanPSMT" w:hAnsi="TimesNewRomanPSMT" w:cs="TimesNewRomanPSMT"/>
          <w:sz w:val="24"/>
        </w:rPr>
        <w:t xml:space="preserve">2081 at 0.1 mM had no significant effect on membrane depolarization or on the amplitude of the EPSP. </w:t>
      </w:r>
    </w:p>
    <w:p w:rsidR="00E7488B" w:rsidRPr="00782D7B" w:rsidRDefault="00085AE3" w:rsidP="008E4CBF">
      <w:pPr>
        <w:tabs>
          <w:tab w:val="left" w:pos="-1440"/>
        </w:tabs>
        <w:spacing w:line="480" w:lineRule="auto"/>
        <w:jc w:val="both"/>
        <w:rPr>
          <w:rFonts w:ascii="Arial" w:hAnsi="Arial" w:cs="Arial"/>
          <w:sz w:val="24"/>
          <w:szCs w:val="24"/>
        </w:rPr>
      </w:pPr>
      <w:r>
        <w:rPr>
          <w:rFonts w:ascii="Arial" w:hAnsi="Arial" w:cs="Arial"/>
          <w:sz w:val="24"/>
          <w:szCs w:val="24"/>
        </w:rPr>
        <w:tab/>
      </w:r>
      <w:r w:rsidR="005E276B" w:rsidRPr="00782D7B">
        <w:rPr>
          <w:rFonts w:ascii="Arial" w:hAnsi="Arial" w:cs="Arial"/>
          <w:sz w:val="24"/>
          <w:szCs w:val="24"/>
        </w:rPr>
        <w:t>If there are subtle effects of kainate in depressing presynaptic vesicular docking or altering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i</w:t>
      </w:r>
      <w:r w:rsidR="005E276B" w:rsidRPr="00782D7B">
        <w:rPr>
          <w:rFonts w:ascii="Arial" w:hAnsi="Arial" w:cs="Arial"/>
          <w:sz w:val="24"/>
          <w:szCs w:val="24"/>
        </w:rPr>
        <w:t xml:space="preserve"> dynamics, one would expect that facilitation or the short-term depression (i.e., negative facilitation) index might detect such an effect. A short four pulse train of 20Hz produces the characteristic response</w:t>
      </w:r>
      <w:r w:rsidR="00FC6DE7" w:rsidRPr="00782D7B">
        <w:rPr>
          <w:rFonts w:ascii="Arial" w:hAnsi="Arial" w:cs="Arial"/>
          <w:sz w:val="24"/>
          <w:szCs w:val="24"/>
        </w:rPr>
        <w:t xml:space="preserve"> known for this preparation,</w:t>
      </w:r>
      <w:r w:rsidR="005E276B" w:rsidRPr="00782D7B">
        <w:rPr>
          <w:rFonts w:ascii="Arial" w:hAnsi="Arial" w:cs="Arial"/>
          <w:sz w:val="24"/>
          <w:szCs w:val="24"/>
        </w:rPr>
        <w:t xml:space="preserve"> as shown in </w:t>
      </w:r>
      <w:r w:rsidR="005E276B" w:rsidRPr="00782D7B">
        <w:rPr>
          <w:rFonts w:ascii="Arial" w:hAnsi="Arial" w:cs="Arial"/>
          <w:b/>
          <w:sz w:val="24"/>
          <w:szCs w:val="24"/>
        </w:rPr>
        <w:t xml:space="preserve">Figure </w:t>
      </w:r>
      <w:r w:rsidR="000129F5">
        <w:rPr>
          <w:rFonts w:ascii="Arial" w:hAnsi="Arial" w:cs="Arial"/>
          <w:b/>
          <w:sz w:val="24"/>
          <w:szCs w:val="24"/>
        </w:rPr>
        <w:t>7</w:t>
      </w:r>
      <w:r w:rsidR="005E276B" w:rsidRPr="00782D7B">
        <w:rPr>
          <w:rFonts w:ascii="Arial" w:hAnsi="Arial" w:cs="Arial"/>
          <w:b/>
          <w:sz w:val="24"/>
          <w:szCs w:val="24"/>
        </w:rPr>
        <w:t>A</w:t>
      </w:r>
      <w:r w:rsidR="005E276B" w:rsidRPr="00782D7B">
        <w:rPr>
          <w:rFonts w:ascii="Arial" w:hAnsi="Arial" w:cs="Arial"/>
          <w:sz w:val="24"/>
          <w:szCs w:val="24"/>
        </w:rPr>
        <w:t>. The initial EPSP is normally used as a relative references to the 4</w:t>
      </w:r>
      <w:r w:rsidR="005E276B" w:rsidRPr="00782D7B">
        <w:rPr>
          <w:rFonts w:ascii="Arial" w:hAnsi="Arial" w:cs="Arial"/>
          <w:sz w:val="24"/>
          <w:szCs w:val="24"/>
          <w:vertAlign w:val="superscript"/>
        </w:rPr>
        <w:t>th</w:t>
      </w:r>
      <w:r w:rsidR="005E276B" w:rsidRPr="00782D7B">
        <w:rPr>
          <w:rFonts w:ascii="Arial" w:hAnsi="Arial" w:cs="Arial"/>
          <w:sz w:val="24"/>
          <w:szCs w:val="24"/>
        </w:rPr>
        <w:t xml:space="preserve"> EPSP in the train. It has been previously demonstrated that 1mM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xml:space="preserve"> will produce a marked depression in the response train where as 500μM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xml:space="preserve"> produces less depression and sometimes a slight facilitation. Thus, both 1mM and 500μM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xml:space="preserve"> were examined with 1mM and 500μM kainate to unmask any ceiling effect in the depression by 1mM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xml:space="preserve"> exposure.</w:t>
      </w:r>
      <w:r w:rsidR="005730EC" w:rsidRPr="00782D7B">
        <w:rPr>
          <w:rFonts w:ascii="Arial" w:hAnsi="Arial" w:cs="Arial"/>
          <w:sz w:val="24"/>
          <w:szCs w:val="24"/>
        </w:rPr>
        <w:t xml:space="preserve"> T</w:t>
      </w:r>
      <w:r w:rsidR="005E276B" w:rsidRPr="00782D7B">
        <w:rPr>
          <w:rFonts w:ascii="Arial" w:hAnsi="Arial" w:cs="Arial"/>
          <w:sz w:val="24"/>
          <w:szCs w:val="24"/>
        </w:rPr>
        <w:t>he 1</w:t>
      </w:r>
      <w:r w:rsidR="005E276B" w:rsidRPr="00782D7B">
        <w:rPr>
          <w:rFonts w:ascii="Arial" w:hAnsi="Arial" w:cs="Arial"/>
          <w:sz w:val="24"/>
          <w:szCs w:val="24"/>
          <w:vertAlign w:val="superscript"/>
        </w:rPr>
        <w:t>st</w:t>
      </w:r>
      <w:r w:rsidR="005E276B" w:rsidRPr="00782D7B">
        <w:rPr>
          <w:rFonts w:ascii="Arial" w:hAnsi="Arial" w:cs="Arial"/>
          <w:sz w:val="24"/>
          <w:szCs w:val="24"/>
        </w:rPr>
        <w:t xml:space="preserve"> and 4</w:t>
      </w:r>
      <w:r w:rsidR="005E276B" w:rsidRPr="00782D7B">
        <w:rPr>
          <w:rFonts w:ascii="Arial" w:hAnsi="Arial" w:cs="Arial"/>
          <w:sz w:val="24"/>
          <w:szCs w:val="24"/>
          <w:vertAlign w:val="superscript"/>
        </w:rPr>
        <w:t>th</w:t>
      </w:r>
      <w:r w:rsidR="005E276B" w:rsidRPr="00782D7B">
        <w:rPr>
          <w:rFonts w:ascii="Arial" w:hAnsi="Arial" w:cs="Arial"/>
          <w:sz w:val="24"/>
          <w:szCs w:val="24"/>
        </w:rPr>
        <w:t xml:space="preserve"> EPSPs rapidly attenuate in amplitude upon exposure to </w:t>
      </w:r>
      <w:r w:rsidR="005730EC" w:rsidRPr="00782D7B">
        <w:rPr>
          <w:rFonts w:ascii="Arial" w:hAnsi="Arial" w:cs="Arial"/>
          <w:sz w:val="24"/>
          <w:szCs w:val="24"/>
        </w:rPr>
        <w:t>1m</w:t>
      </w:r>
      <w:r w:rsidR="005E276B" w:rsidRPr="00782D7B">
        <w:rPr>
          <w:rFonts w:ascii="Arial" w:hAnsi="Arial" w:cs="Arial"/>
          <w:sz w:val="24"/>
          <w:szCs w:val="24"/>
        </w:rPr>
        <w:t xml:space="preserve">M kainate and </w:t>
      </w:r>
      <w:r w:rsidR="005730EC" w:rsidRPr="00782D7B">
        <w:rPr>
          <w:rFonts w:ascii="Arial" w:hAnsi="Arial" w:cs="Arial"/>
          <w:sz w:val="24"/>
          <w:szCs w:val="24"/>
        </w:rPr>
        <w:t>0.5</w:t>
      </w:r>
      <w:r w:rsidR="005E276B" w:rsidRPr="00782D7B">
        <w:rPr>
          <w:rFonts w:ascii="Arial" w:hAnsi="Arial" w:cs="Arial"/>
          <w:sz w:val="24"/>
          <w:szCs w:val="24"/>
        </w:rPr>
        <w:t>mM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xml:space="preserve"> (</w:t>
      </w:r>
      <w:r w:rsidR="005E276B" w:rsidRPr="00782D7B">
        <w:rPr>
          <w:rFonts w:ascii="Arial" w:hAnsi="Arial" w:cs="Arial"/>
          <w:b/>
          <w:sz w:val="24"/>
          <w:szCs w:val="24"/>
        </w:rPr>
        <w:t xml:space="preserve">Figure </w:t>
      </w:r>
      <w:r w:rsidR="000129F5">
        <w:rPr>
          <w:rFonts w:ascii="Arial" w:hAnsi="Arial" w:cs="Arial"/>
          <w:b/>
          <w:sz w:val="24"/>
          <w:szCs w:val="24"/>
        </w:rPr>
        <w:t>7</w:t>
      </w:r>
      <w:r w:rsidR="005E276B" w:rsidRPr="00782D7B">
        <w:rPr>
          <w:rFonts w:ascii="Arial" w:hAnsi="Arial" w:cs="Arial"/>
          <w:b/>
          <w:sz w:val="24"/>
          <w:szCs w:val="24"/>
        </w:rPr>
        <w:t>B</w:t>
      </w:r>
      <w:r w:rsidR="005E276B" w:rsidRPr="00782D7B">
        <w:rPr>
          <w:rFonts w:ascii="Arial" w:hAnsi="Arial" w:cs="Arial"/>
          <w:sz w:val="24"/>
          <w:szCs w:val="24"/>
        </w:rPr>
        <w:t xml:space="preserve">). </w:t>
      </w:r>
      <w:r w:rsidR="005730EC" w:rsidRPr="00782D7B">
        <w:rPr>
          <w:rFonts w:ascii="Arial" w:hAnsi="Arial" w:cs="Arial"/>
          <w:sz w:val="24"/>
          <w:szCs w:val="24"/>
        </w:rPr>
        <w:t xml:space="preserve">The EPSPs also show a large reduction to kainate when bathed with </w:t>
      </w:r>
      <w:r w:rsidR="008E4CBF" w:rsidRPr="00782D7B">
        <w:rPr>
          <w:rFonts w:ascii="Arial" w:hAnsi="Arial" w:cs="Arial"/>
          <w:sz w:val="24"/>
          <w:szCs w:val="24"/>
        </w:rPr>
        <w:t>1mM [</w:t>
      </w:r>
      <w:r w:rsidR="005730EC" w:rsidRPr="00782D7B">
        <w:rPr>
          <w:rFonts w:ascii="Arial" w:hAnsi="Arial" w:cs="Arial"/>
          <w:sz w:val="24"/>
          <w:szCs w:val="24"/>
        </w:rPr>
        <w:t>Ca</w:t>
      </w:r>
      <w:r w:rsidR="005730EC" w:rsidRPr="00782D7B">
        <w:rPr>
          <w:rFonts w:ascii="Arial" w:hAnsi="Arial" w:cs="Arial"/>
          <w:sz w:val="24"/>
          <w:szCs w:val="24"/>
          <w:vertAlign w:val="superscript"/>
        </w:rPr>
        <w:t>2+</w:t>
      </w:r>
      <w:r w:rsidR="005730EC" w:rsidRPr="00782D7B">
        <w:rPr>
          <w:rFonts w:ascii="Arial" w:hAnsi="Arial" w:cs="Arial"/>
          <w:sz w:val="24"/>
          <w:szCs w:val="24"/>
        </w:rPr>
        <w:t>]</w:t>
      </w:r>
      <w:r w:rsidR="005730EC" w:rsidRPr="00782D7B">
        <w:rPr>
          <w:rFonts w:ascii="Arial" w:hAnsi="Arial" w:cs="Arial"/>
          <w:sz w:val="24"/>
          <w:szCs w:val="24"/>
          <w:vertAlign w:val="subscript"/>
        </w:rPr>
        <w:t>o</w:t>
      </w:r>
      <w:r w:rsidR="005730EC" w:rsidRPr="00782D7B">
        <w:rPr>
          <w:rFonts w:ascii="Arial" w:hAnsi="Arial" w:cs="Arial"/>
          <w:sz w:val="24"/>
          <w:szCs w:val="24"/>
        </w:rPr>
        <w:t xml:space="preserve"> (</w:t>
      </w:r>
      <w:r w:rsidR="005730EC" w:rsidRPr="00782D7B">
        <w:rPr>
          <w:rFonts w:ascii="Arial" w:hAnsi="Arial" w:cs="Arial"/>
          <w:b/>
          <w:sz w:val="24"/>
          <w:szCs w:val="24"/>
        </w:rPr>
        <w:t xml:space="preserve">Figure </w:t>
      </w:r>
      <w:r w:rsidR="000129F5">
        <w:rPr>
          <w:rFonts w:ascii="Arial" w:hAnsi="Arial" w:cs="Arial"/>
          <w:b/>
          <w:sz w:val="24"/>
          <w:szCs w:val="24"/>
        </w:rPr>
        <w:t>7</w:t>
      </w:r>
      <w:r w:rsidR="005730EC" w:rsidRPr="00782D7B">
        <w:rPr>
          <w:rFonts w:ascii="Arial" w:hAnsi="Arial" w:cs="Arial"/>
          <w:b/>
          <w:sz w:val="24"/>
          <w:szCs w:val="24"/>
        </w:rPr>
        <w:t>C</w:t>
      </w:r>
      <w:r w:rsidR="005730EC" w:rsidRPr="00782D7B">
        <w:rPr>
          <w:rFonts w:ascii="Arial" w:hAnsi="Arial" w:cs="Arial"/>
          <w:sz w:val="24"/>
          <w:szCs w:val="24"/>
        </w:rPr>
        <w:t xml:space="preserve">). </w:t>
      </w:r>
      <w:r w:rsidR="005E276B" w:rsidRPr="00782D7B">
        <w:rPr>
          <w:rFonts w:ascii="Arial" w:hAnsi="Arial" w:cs="Arial"/>
          <w:sz w:val="24"/>
          <w:szCs w:val="24"/>
        </w:rPr>
        <w:t>However, no significant differences</w:t>
      </w:r>
      <w:r w:rsidR="00F276CA" w:rsidRPr="00782D7B">
        <w:rPr>
          <w:rFonts w:ascii="Arial" w:hAnsi="Arial" w:cs="Arial"/>
          <w:sz w:val="24"/>
          <w:szCs w:val="24"/>
        </w:rPr>
        <w:t xml:space="preserve">, by parametric analysis (Student’s </w:t>
      </w:r>
      <w:r w:rsidR="00F276CA" w:rsidRPr="00782D7B">
        <w:rPr>
          <w:rFonts w:ascii="Arial" w:hAnsi="Arial" w:cs="Arial"/>
          <w:i/>
          <w:sz w:val="24"/>
          <w:szCs w:val="24"/>
        </w:rPr>
        <w:t>t</w:t>
      </w:r>
      <w:r w:rsidR="00F276CA" w:rsidRPr="00782D7B">
        <w:rPr>
          <w:rFonts w:ascii="Arial" w:hAnsi="Arial" w:cs="Arial"/>
          <w:sz w:val="24"/>
          <w:szCs w:val="24"/>
        </w:rPr>
        <w:t>-test),</w:t>
      </w:r>
      <w:r w:rsidR="005E276B" w:rsidRPr="00782D7B">
        <w:rPr>
          <w:rFonts w:ascii="Arial" w:hAnsi="Arial" w:cs="Arial"/>
          <w:sz w:val="24"/>
          <w:szCs w:val="24"/>
        </w:rPr>
        <w:t xml:space="preserve"> in the facilitation index </w:t>
      </w:r>
      <w:r w:rsidR="008E0384" w:rsidRPr="00782D7B">
        <w:rPr>
          <w:rFonts w:ascii="Arial" w:hAnsi="Arial" w:cs="Arial"/>
          <w:sz w:val="24"/>
          <w:szCs w:val="24"/>
        </w:rPr>
        <w:t>are observed among the four</w:t>
      </w:r>
      <w:r w:rsidR="005E276B" w:rsidRPr="00782D7B">
        <w:rPr>
          <w:rFonts w:ascii="Arial" w:hAnsi="Arial" w:cs="Arial"/>
          <w:sz w:val="24"/>
          <w:szCs w:val="24"/>
        </w:rPr>
        <w:t xml:space="preserve"> conditions</w:t>
      </w:r>
      <w:r w:rsidR="00F276CA" w:rsidRPr="00782D7B">
        <w:rPr>
          <w:rFonts w:ascii="Arial" w:hAnsi="Arial" w:cs="Arial"/>
          <w:sz w:val="24"/>
          <w:szCs w:val="24"/>
        </w:rPr>
        <w:t xml:space="preserve"> for exposure to kainate</w:t>
      </w:r>
      <w:r w:rsidR="00F9240B">
        <w:rPr>
          <w:rFonts w:ascii="Arial" w:hAnsi="Arial" w:cs="Arial"/>
          <w:sz w:val="24"/>
          <w:szCs w:val="24"/>
        </w:rPr>
        <w:t>.</w:t>
      </w:r>
      <w:r w:rsidR="005E276B" w:rsidRPr="00782D7B">
        <w:rPr>
          <w:rFonts w:ascii="Arial" w:hAnsi="Arial" w:cs="Arial"/>
          <w:sz w:val="24"/>
          <w:szCs w:val="24"/>
        </w:rPr>
        <w:t xml:space="preserve"> </w:t>
      </w:r>
      <w:r w:rsidR="00F9240B">
        <w:rPr>
          <w:rFonts w:ascii="Arial" w:hAnsi="Arial" w:cs="Arial"/>
          <w:sz w:val="24"/>
          <w:szCs w:val="24"/>
        </w:rPr>
        <w:t xml:space="preserve">This is </w:t>
      </w:r>
      <w:r w:rsidR="005730EC" w:rsidRPr="00782D7B">
        <w:rPr>
          <w:rFonts w:ascii="Arial" w:hAnsi="Arial" w:cs="Arial"/>
          <w:sz w:val="24"/>
          <w:szCs w:val="24"/>
        </w:rPr>
        <w:t xml:space="preserve">determined by the difference in the median FI values. The difference is measured from saline to exposure of </w:t>
      </w:r>
      <w:r w:rsidR="00F276CA" w:rsidRPr="00782D7B">
        <w:rPr>
          <w:rFonts w:ascii="Arial" w:hAnsi="Arial" w:cs="Arial"/>
          <w:sz w:val="24"/>
          <w:szCs w:val="24"/>
        </w:rPr>
        <w:t xml:space="preserve">kainate </w:t>
      </w:r>
      <w:r w:rsidR="005730EC" w:rsidRPr="00782D7B">
        <w:rPr>
          <w:rFonts w:ascii="Arial" w:hAnsi="Arial" w:cs="Arial"/>
          <w:sz w:val="24"/>
          <w:szCs w:val="24"/>
        </w:rPr>
        <w:t xml:space="preserve">within each preparation </w:t>
      </w:r>
      <w:r w:rsidR="005E276B" w:rsidRPr="00782D7B">
        <w:rPr>
          <w:rFonts w:ascii="Arial" w:hAnsi="Arial" w:cs="Arial"/>
          <w:sz w:val="24"/>
          <w:szCs w:val="24"/>
        </w:rPr>
        <w:t>(</w:t>
      </w:r>
      <w:r w:rsidR="005730EC" w:rsidRPr="00782D7B">
        <w:rPr>
          <w:rFonts w:ascii="Arial" w:hAnsi="Arial" w:cs="Arial"/>
          <w:sz w:val="24"/>
          <w:szCs w:val="24"/>
        </w:rPr>
        <w:t xml:space="preserve">n=5; </w:t>
      </w:r>
      <w:r w:rsidR="005E276B" w:rsidRPr="00782D7B">
        <w:rPr>
          <w:rFonts w:ascii="Arial" w:hAnsi="Arial" w:cs="Arial"/>
          <w:sz w:val="24"/>
          <w:szCs w:val="24"/>
        </w:rPr>
        <w:t>500μM kainate-1mM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1mM kainate-1mM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500μM kainate-500μM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hAnsi="Arial" w:cs="Arial"/>
          <w:sz w:val="24"/>
          <w:szCs w:val="24"/>
        </w:rPr>
        <w:t>; 1mM kainate-500μM [Ca</w:t>
      </w:r>
      <w:r w:rsidR="005E276B" w:rsidRPr="00782D7B">
        <w:rPr>
          <w:rFonts w:ascii="Arial" w:hAnsi="Arial" w:cs="Arial"/>
          <w:sz w:val="24"/>
          <w:szCs w:val="24"/>
          <w:vertAlign w:val="superscript"/>
        </w:rPr>
        <w:t>2+</w:t>
      </w:r>
      <w:r w:rsidR="005E276B" w:rsidRPr="00782D7B">
        <w:rPr>
          <w:rFonts w:ascii="Arial" w:hAnsi="Arial" w:cs="Arial"/>
          <w:sz w:val="24"/>
          <w:szCs w:val="24"/>
        </w:rPr>
        <w:t>]</w:t>
      </w:r>
      <w:r w:rsidR="005E276B" w:rsidRPr="00782D7B">
        <w:rPr>
          <w:rFonts w:ascii="Arial" w:hAnsi="Arial" w:cs="Arial"/>
          <w:sz w:val="24"/>
          <w:szCs w:val="24"/>
          <w:vertAlign w:val="subscript"/>
        </w:rPr>
        <w:t>o</w:t>
      </w:r>
      <w:r w:rsidR="005E276B" w:rsidRPr="00782D7B">
        <w:rPr>
          <w:rFonts w:ascii="Arial" w:eastAsia="Times New Roman" w:hAnsi="Arial" w:cs="Arial"/>
          <w:bCs/>
          <w:sz w:val="24"/>
          <w:szCs w:val="24"/>
        </w:rPr>
        <w:t xml:space="preserve">; </w:t>
      </w:r>
      <w:r w:rsidR="005E276B" w:rsidRPr="00782D7B">
        <w:rPr>
          <w:rFonts w:ascii="Arial" w:eastAsia="Times New Roman" w:hAnsi="Arial" w:cs="Arial"/>
          <w:b/>
          <w:bCs/>
          <w:sz w:val="24"/>
          <w:szCs w:val="24"/>
        </w:rPr>
        <w:lastRenderedPageBreak/>
        <w:t xml:space="preserve">Figure </w:t>
      </w:r>
      <w:r w:rsidR="000129F5">
        <w:rPr>
          <w:rFonts w:ascii="Arial" w:eastAsia="Times New Roman" w:hAnsi="Arial" w:cs="Arial"/>
          <w:b/>
          <w:bCs/>
          <w:sz w:val="24"/>
          <w:szCs w:val="24"/>
        </w:rPr>
        <w:t>7</w:t>
      </w:r>
      <w:r w:rsidR="005730EC" w:rsidRPr="00782D7B">
        <w:rPr>
          <w:rFonts w:ascii="Arial" w:eastAsia="Times New Roman" w:hAnsi="Arial" w:cs="Arial"/>
          <w:b/>
          <w:bCs/>
          <w:sz w:val="24"/>
          <w:szCs w:val="24"/>
        </w:rPr>
        <w:t>D</w:t>
      </w:r>
      <w:r w:rsidR="005E276B" w:rsidRPr="00782D7B">
        <w:rPr>
          <w:rFonts w:ascii="Arial" w:eastAsia="Times New Roman" w:hAnsi="Arial" w:cs="Arial"/>
          <w:bCs/>
          <w:sz w:val="24"/>
          <w:szCs w:val="24"/>
        </w:rPr>
        <w:t>).</w:t>
      </w:r>
      <w:r w:rsidR="00F276CA" w:rsidRPr="00782D7B">
        <w:rPr>
          <w:rFonts w:ascii="Arial" w:eastAsia="Times New Roman" w:hAnsi="Arial" w:cs="Arial"/>
          <w:bCs/>
          <w:sz w:val="24"/>
          <w:szCs w:val="24"/>
        </w:rPr>
        <w:t xml:space="preserve"> If the effect</w:t>
      </w:r>
      <w:r w:rsidR="00F276CA" w:rsidRPr="00782D7B">
        <w:rPr>
          <w:rFonts w:ascii="Arial" w:hAnsi="Arial" w:cs="Arial"/>
          <w:sz w:val="24"/>
          <w:szCs w:val="24"/>
        </w:rPr>
        <w:t xml:space="preserve"> to exposure of kainate (1mM) with 1mM [Ca</w:t>
      </w:r>
      <w:r w:rsidR="00F276CA" w:rsidRPr="00782D7B">
        <w:rPr>
          <w:rFonts w:ascii="Arial" w:hAnsi="Arial" w:cs="Arial"/>
          <w:sz w:val="24"/>
          <w:szCs w:val="24"/>
          <w:vertAlign w:val="superscript"/>
        </w:rPr>
        <w:t>2+</w:t>
      </w:r>
      <w:r w:rsidR="00F276CA" w:rsidRPr="00782D7B">
        <w:rPr>
          <w:rFonts w:ascii="Arial" w:hAnsi="Arial" w:cs="Arial"/>
          <w:sz w:val="24"/>
          <w:szCs w:val="24"/>
        </w:rPr>
        <w:t>]</w:t>
      </w:r>
      <w:r w:rsidR="00F276CA" w:rsidRPr="00782D7B">
        <w:rPr>
          <w:rFonts w:ascii="Arial" w:hAnsi="Arial" w:cs="Arial"/>
          <w:sz w:val="24"/>
          <w:szCs w:val="24"/>
          <w:vertAlign w:val="subscript"/>
        </w:rPr>
        <w:t>o</w:t>
      </w:r>
      <w:r w:rsidR="00F276CA" w:rsidRPr="00782D7B">
        <w:rPr>
          <w:rFonts w:ascii="Arial" w:eastAsia="Times New Roman" w:hAnsi="Arial" w:cs="Arial"/>
          <w:bCs/>
          <w:sz w:val="24"/>
          <w:szCs w:val="24"/>
        </w:rPr>
        <w:t xml:space="preserve"> is </w:t>
      </w:r>
      <w:r w:rsidR="00484924" w:rsidRPr="00782D7B">
        <w:rPr>
          <w:rFonts w:ascii="Arial" w:eastAsia="Times New Roman" w:hAnsi="Arial" w:cs="Arial"/>
          <w:bCs/>
          <w:sz w:val="24"/>
          <w:szCs w:val="24"/>
        </w:rPr>
        <w:t>analyzed</w:t>
      </w:r>
      <w:r w:rsidR="00F276CA" w:rsidRPr="00782D7B">
        <w:rPr>
          <w:rFonts w:ascii="Arial" w:eastAsia="Times New Roman" w:hAnsi="Arial" w:cs="Arial"/>
          <w:bCs/>
          <w:sz w:val="24"/>
          <w:szCs w:val="24"/>
        </w:rPr>
        <w:t xml:space="preserve"> by non-parametric statistics, then </w:t>
      </w:r>
      <w:r w:rsidR="00E7488B" w:rsidRPr="00782D7B">
        <w:rPr>
          <w:rFonts w:ascii="Arial" w:eastAsia="Times New Roman" w:hAnsi="Arial" w:cs="Arial"/>
          <w:bCs/>
          <w:sz w:val="24"/>
          <w:szCs w:val="24"/>
        </w:rPr>
        <w:t>five</w:t>
      </w:r>
      <w:r w:rsidR="00F276CA" w:rsidRPr="00782D7B">
        <w:rPr>
          <w:rFonts w:ascii="Arial" w:hAnsi="Arial" w:cs="Arial"/>
          <w:sz w:val="24"/>
          <w:szCs w:val="24"/>
        </w:rPr>
        <w:t xml:space="preserve"> out </w:t>
      </w:r>
      <w:r w:rsidR="00F9240B">
        <w:rPr>
          <w:rFonts w:ascii="Arial" w:hAnsi="Arial" w:cs="Arial"/>
          <w:sz w:val="24"/>
          <w:szCs w:val="24"/>
        </w:rPr>
        <w:t xml:space="preserve">of </w:t>
      </w:r>
      <w:r w:rsidR="00E7488B" w:rsidRPr="00782D7B">
        <w:rPr>
          <w:rFonts w:ascii="Arial" w:hAnsi="Arial" w:cs="Arial"/>
          <w:sz w:val="24"/>
          <w:szCs w:val="24"/>
        </w:rPr>
        <w:t>five</w:t>
      </w:r>
      <w:r w:rsidR="00F276CA" w:rsidRPr="00782D7B">
        <w:rPr>
          <w:rFonts w:ascii="Arial" w:hAnsi="Arial" w:cs="Arial"/>
          <w:sz w:val="24"/>
          <w:szCs w:val="24"/>
        </w:rPr>
        <w:t xml:space="preserve"> preparations showed an increase in the mean FI (p&lt;0.05, Wilcoxon Rank Sum). However, </w:t>
      </w:r>
      <w:r w:rsidR="00E7488B" w:rsidRPr="00782D7B">
        <w:rPr>
          <w:rFonts w:ascii="Arial" w:hAnsi="Arial" w:cs="Arial"/>
          <w:sz w:val="24"/>
          <w:szCs w:val="24"/>
        </w:rPr>
        <w:t>two</w:t>
      </w:r>
      <w:r w:rsidR="00F276CA" w:rsidRPr="00782D7B">
        <w:rPr>
          <w:rFonts w:ascii="Arial" w:hAnsi="Arial" w:cs="Arial"/>
          <w:sz w:val="24"/>
          <w:szCs w:val="24"/>
        </w:rPr>
        <w:t xml:space="preserve"> </w:t>
      </w:r>
      <w:r w:rsidR="00484924" w:rsidRPr="00782D7B">
        <w:rPr>
          <w:rFonts w:ascii="Arial" w:hAnsi="Arial" w:cs="Arial"/>
          <w:sz w:val="24"/>
          <w:szCs w:val="24"/>
        </w:rPr>
        <w:t>preparations</w:t>
      </w:r>
      <w:r w:rsidR="00F276CA" w:rsidRPr="00782D7B">
        <w:rPr>
          <w:rFonts w:ascii="Arial" w:hAnsi="Arial" w:cs="Arial"/>
          <w:sz w:val="24"/>
          <w:szCs w:val="24"/>
        </w:rPr>
        <w:t xml:space="preserve"> showed only small increases of 10 and 12 %. Thus, we do not feel confident in stating that there is a significant increase in the mean FI with kainate</w:t>
      </w:r>
      <w:r w:rsidR="00484924" w:rsidRPr="00782D7B">
        <w:rPr>
          <w:rFonts w:ascii="Arial" w:hAnsi="Arial" w:cs="Arial"/>
          <w:sz w:val="24"/>
          <w:szCs w:val="24"/>
        </w:rPr>
        <w:t xml:space="preserve"> by non-parametric analysis.</w:t>
      </w:r>
      <w:r w:rsidR="00E7488B" w:rsidRPr="00782D7B">
        <w:rPr>
          <w:rFonts w:ascii="Arial" w:hAnsi="Arial" w:cs="Arial"/>
          <w:sz w:val="24"/>
          <w:szCs w:val="24"/>
        </w:rPr>
        <w:t xml:space="preserve"> On the other hand, box-whisker plots of the FI values before and after exposure to kainate, for each preparation, in the various paradigms revealed a trend again related to the same data set of kainate (1mM) with 1mM [Ca</w:t>
      </w:r>
      <w:r w:rsidR="00E7488B" w:rsidRPr="00782D7B">
        <w:rPr>
          <w:rFonts w:ascii="Arial" w:hAnsi="Arial" w:cs="Arial"/>
          <w:sz w:val="24"/>
          <w:szCs w:val="24"/>
          <w:vertAlign w:val="superscript"/>
        </w:rPr>
        <w:t>2+</w:t>
      </w:r>
      <w:r w:rsidR="00E7488B" w:rsidRPr="00782D7B">
        <w:rPr>
          <w:rFonts w:ascii="Arial" w:hAnsi="Arial" w:cs="Arial"/>
          <w:sz w:val="24"/>
          <w:szCs w:val="24"/>
        </w:rPr>
        <w:t>]</w:t>
      </w:r>
      <w:r w:rsidR="00E7488B" w:rsidRPr="00782D7B">
        <w:rPr>
          <w:rFonts w:ascii="Arial" w:hAnsi="Arial" w:cs="Arial"/>
          <w:sz w:val="24"/>
          <w:szCs w:val="24"/>
          <w:vertAlign w:val="subscript"/>
        </w:rPr>
        <w:t>o</w:t>
      </w:r>
      <w:r w:rsidR="00E7488B" w:rsidRPr="00782D7B">
        <w:rPr>
          <w:rFonts w:ascii="Arial" w:hAnsi="Arial" w:cs="Arial"/>
          <w:sz w:val="24"/>
          <w:szCs w:val="24"/>
        </w:rPr>
        <w:t xml:space="preserve"> (</w:t>
      </w:r>
      <w:r w:rsidR="00E7488B" w:rsidRPr="00782D7B">
        <w:rPr>
          <w:rFonts w:ascii="Arial" w:hAnsi="Arial" w:cs="Arial"/>
          <w:b/>
          <w:sz w:val="24"/>
          <w:szCs w:val="24"/>
        </w:rPr>
        <w:t xml:space="preserve">Figure </w:t>
      </w:r>
      <w:r w:rsidR="000129F5">
        <w:rPr>
          <w:rFonts w:ascii="Arial" w:hAnsi="Arial" w:cs="Arial"/>
          <w:b/>
          <w:sz w:val="24"/>
          <w:szCs w:val="24"/>
        </w:rPr>
        <w:t>8</w:t>
      </w:r>
      <w:r w:rsidR="00BE7713">
        <w:rPr>
          <w:rFonts w:ascii="Arial" w:hAnsi="Arial" w:cs="Arial"/>
          <w:b/>
          <w:sz w:val="24"/>
          <w:szCs w:val="24"/>
        </w:rPr>
        <w:t>A</w:t>
      </w:r>
      <w:r w:rsidR="00E7488B" w:rsidRPr="00782D7B">
        <w:rPr>
          <w:rFonts w:ascii="Arial" w:hAnsi="Arial" w:cs="Arial"/>
          <w:sz w:val="24"/>
          <w:szCs w:val="24"/>
        </w:rPr>
        <w:t>). The box-whisker plots represent the median,</w:t>
      </w:r>
      <w:r w:rsidR="00AF7D5A" w:rsidRPr="00782D7B">
        <w:rPr>
          <w:rFonts w:ascii="Arial" w:hAnsi="Arial" w:cs="Arial"/>
          <w:sz w:val="24"/>
          <w:szCs w:val="24"/>
        </w:rPr>
        <w:t xml:space="preserve"> </w:t>
      </w:r>
      <w:r w:rsidR="00E7488B" w:rsidRPr="00782D7B">
        <w:rPr>
          <w:rFonts w:ascii="Arial" w:hAnsi="Arial" w:cs="Arial"/>
          <w:sz w:val="24"/>
          <w:szCs w:val="24"/>
        </w:rPr>
        <w:t>25</w:t>
      </w:r>
      <w:r w:rsidR="00E7488B" w:rsidRPr="00782D7B">
        <w:rPr>
          <w:rFonts w:ascii="Arial" w:hAnsi="Arial" w:cs="Arial"/>
          <w:sz w:val="24"/>
          <w:szCs w:val="24"/>
          <w:vertAlign w:val="superscript"/>
        </w:rPr>
        <w:t>th</w:t>
      </w:r>
      <w:r w:rsidR="00E7488B" w:rsidRPr="00782D7B">
        <w:rPr>
          <w:rFonts w:ascii="Arial" w:hAnsi="Arial" w:cs="Arial"/>
          <w:sz w:val="24"/>
          <w:szCs w:val="24"/>
        </w:rPr>
        <w:t>, 75</w:t>
      </w:r>
      <w:r w:rsidR="00E7488B" w:rsidRPr="00782D7B">
        <w:rPr>
          <w:rFonts w:ascii="Arial" w:hAnsi="Arial" w:cs="Arial"/>
          <w:sz w:val="24"/>
          <w:szCs w:val="24"/>
          <w:vertAlign w:val="superscript"/>
        </w:rPr>
        <w:t>th</w:t>
      </w:r>
      <w:r w:rsidR="00E7488B" w:rsidRPr="00782D7B">
        <w:rPr>
          <w:rFonts w:ascii="Arial" w:hAnsi="Arial" w:cs="Arial"/>
          <w:sz w:val="24"/>
          <w:szCs w:val="24"/>
        </w:rPr>
        <w:t xml:space="preserve">, and </w:t>
      </w:r>
      <w:r w:rsidR="00AF7D5A" w:rsidRPr="00782D7B">
        <w:rPr>
          <w:rFonts w:ascii="Arial" w:hAnsi="Arial" w:cs="Arial"/>
          <w:sz w:val="24"/>
          <w:szCs w:val="24"/>
        </w:rPr>
        <w:t>range</w:t>
      </w:r>
      <w:r w:rsidR="00E7488B" w:rsidRPr="00782D7B">
        <w:rPr>
          <w:rFonts w:ascii="Arial" w:hAnsi="Arial" w:cs="Arial"/>
          <w:sz w:val="24"/>
          <w:szCs w:val="24"/>
        </w:rPr>
        <w:t>. One can observe that the variability in the distributions is larger for the kainate (1mM) with 1mM [Ca</w:t>
      </w:r>
      <w:r w:rsidR="00E7488B" w:rsidRPr="00782D7B">
        <w:rPr>
          <w:rFonts w:ascii="Arial" w:hAnsi="Arial" w:cs="Arial"/>
          <w:sz w:val="24"/>
          <w:szCs w:val="24"/>
          <w:vertAlign w:val="superscript"/>
        </w:rPr>
        <w:t>2+</w:t>
      </w:r>
      <w:r w:rsidR="00E7488B" w:rsidRPr="00782D7B">
        <w:rPr>
          <w:rFonts w:ascii="Arial" w:hAnsi="Arial" w:cs="Arial"/>
          <w:sz w:val="24"/>
          <w:szCs w:val="24"/>
        </w:rPr>
        <w:t>]</w:t>
      </w:r>
      <w:r w:rsidR="00E7488B" w:rsidRPr="00782D7B">
        <w:rPr>
          <w:rFonts w:ascii="Arial" w:hAnsi="Arial" w:cs="Arial"/>
          <w:sz w:val="24"/>
          <w:szCs w:val="24"/>
          <w:vertAlign w:val="subscript"/>
        </w:rPr>
        <w:t>o</w:t>
      </w:r>
      <w:r w:rsidR="00E7488B" w:rsidRPr="00782D7B">
        <w:rPr>
          <w:rFonts w:ascii="Arial" w:hAnsi="Arial" w:cs="Arial"/>
          <w:sz w:val="24"/>
          <w:szCs w:val="24"/>
        </w:rPr>
        <w:t xml:space="preserve"> as compared to the same preparations before the exposure. In the other paradigms the variability is about the same for saline and kainate exposure.  To further examine this variability in FI, the standard deviation for each preparation before and after exposure to kainate was examined. Only the kainate (1mM) with 1mM [Ca</w:t>
      </w:r>
      <w:r w:rsidR="00E7488B" w:rsidRPr="00782D7B">
        <w:rPr>
          <w:rFonts w:ascii="Arial" w:hAnsi="Arial" w:cs="Arial"/>
          <w:sz w:val="24"/>
          <w:szCs w:val="24"/>
          <w:vertAlign w:val="superscript"/>
        </w:rPr>
        <w:t>2+</w:t>
      </w:r>
      <w:r w:rsidR="00E7488B" w:rsidRPr="00782D7B">
        <w:rPr>
          <w:rFonts w:ascii="Arial" w:hAnsi="Arial" w:cs="Arial"/>
          <w:sz w:val="24"/>
          <w:szCs w:val="24"/>
        </w:rPr>
        <w:t>]</w:t>
      </w:r>
      <w:r w:rsidR="00E7488B" w:rsidRPr="00782D7B">
        <w:rPr>
          <w:rFonts w:ascii="Arial" w:hAnsi="Arial" w:cs="Arial"/>
          <w:sz w:val="24"/>
          <w:szCs w:val="24"/>
          <w:vertAlign w:val="subscript"/>
        </w:rPr>
        <w:t>o</w:t>
      </w:r>
      <w:r w:rsidR="00E7488B" w:rsidRPr="00782D7B">
        <w:rPr>
          <w:rFonts w:ascii="Arial" w:hAnsi="Arial" w:cs="Arial"/>
          <w:sz w:val="24"/>
          <w:szCs w:val="24"/>
        </w:rPr>
        <w:t xml:space="preserve"> showed a consistent trend (five out of five; p&lt;0.05, Wilcoxon Rank Sum Test</w:t>
      </w:r>
      <w:r w:rsidR="00FC6DE7" w:rsidRPr="00782D7B">
        <w:rPr>
          <w:rFonts w:ascii="Arial" w:hAnsi="Arial" w:cs="Arial"/>
          <w:sz w:val="24"/>
          <w:szCs w:val="24"/>
        </w:rPr>
        <w:t xml:space="preserve">; also by Student’s </w:t>
      </w:r>
      <w:r w:rsidR="00FC6DE7" w:rsidRPr="00782D7B">
        <w:rPr>
          <w:rFonts w:ascii="Arial" w:hAnsi="Arial" w:cs="Arial"/>
          <w:i/>
          <w:sz w:val="24"/>
          <w:szCs w:val="24"/>
        </w:rPr>
        <w:t>t</w:t>
      </w:r>
      <w:r w:rsidR="00FC6DE7" w:rsidRPr="00782D7B">
        <w:rPr>
          <w:rFonts w:ascii="Arial" w:hAnsi="Arial" w:cs="Arial"/>
          <w:sz w:val="24"/>
          <w:szCs w:val="24"/>
        </w:rPr>
        <w:t>-test p&lt;0.05</w:t>
      </w:r>
      <w:r w:rsidR="00E7488B" w:rsidRPr="00782D7B">
        <w:rPr>
          <w:rFonts w:ascii="Arial" w:hAnsi="Arial" w:cs="Arial"/>
          <w:sz w:val="24"/>
          <w:szCs w:val="24"/>
        </w:rPr>
        <w:t xml:space="preserve">) with an increase in the variability while exposed to kainate as compared </w:t>
      </w:r>
      <w:r w:rsidR="00FC6DE7" w:rsidRPr="00782D7B">
        <w:rPr>
          <w:rFonts w:ascii="Arial" w:hAnsi="Arial" w:cs="Arial"/>
          <w:sz w:val="24"/>
          <w:szCs w:val="24"/>
        </w:rPr>
        <w:t xml:space="preserve">to </w:t>
      </w:r>
      <w:r w:rsidR="00E7488B" w:rsidRPr="00782D7B">
        <w:rPr>
          <w:rFonts w:ascii="Arial" w:hAnsi="Arial" w:cs="Arial"/>
          <w:sz w:val="24"/>
          <w:szCs w:val="24"/>
        </w:rPr>
        <w:t xml:space="preserve">the saline baseline. The  change in the individual preparations for this paradigm are shown in </w:t>
      </w:r>
      <w:r w:rsidR="00BE7713" w:rsidRPr="00782D7B">
        <w:rPr>
          <w:rFonts w:ascii="Arial" w:hAnsi="Arial" w:cs="Arial"/>
          <w:b/>
          <w:sz w:val="24"/>
          <w:szCs w:val="24"/>
        </w:rPr>
        <w:t xml:space="preserve">Figure </w:t>
      </w:r>
      <w:r w:rsidR="00BE7713">
        <w:rPr>
          <w:rFonts w:ascii="Arial" w:hAnsi="Arial" w:cs="Arial"/>
          <w:b/>
          <w:sz w:val="24"/>
          <w:szCs w:val="24"/>
        </w:rPr>
        <w:t>8B</w:t>
      </w:r>
      <w:r w:rsidR="00E7488B" w:rsidRPr="00782D7B">
        <w:rPr>
          <w:rFonts w:ascii="Arial" w:hAnsi="Arial" w:cs="Arial"/>
          <w:sz w:val="24"/>
          <w:szCs w:val="24"/>
        </w:rPr>
        <w:t>.</w:t>
      </w:r>
    </w:p>
    <w:p w:rsidR="00466177" w:rsidRPr="00782D7B" w:rsidRDefault="005E276B" w:rsidP="008E4CBF">
      <w:pPr>
        <w:tabs>
          <w:tab w:val="left" w:pos="-1440"/>
        </w:tabs>
        <w:spacing w:line="480" w:lineRule="auto"/>
        <w:jc w:val="both"/>
        <w:rPr>
          <w:rFonts w:ascii="Arial" w:eastAsia="Times New Roman" w:hAnsi="Arial" w:cs="Arial"/>
          <w:sz w:val="24"/>
          <w:szCs w:val="24"/>
        </w:rPr>
      </w:pPr>
      <w:r w:rsidRPr="00782D7B">
        <w:rPr>
          <w:rFonts w:ascii="Arial" w:eastAsia="Times New Roman" w:hAnsi="Arial" w:cs="Arial"/>
          <w:bCs/>
          <w:sz w:val="24"/>
          <w:szCs w:val="24"/>
        </w:rPr>
        <w:tab/>
      </w:r>
      <w:r w:rsidR="008E0384" w:rsidRPr="00782D7B">
        <w:rPr>
          <w:rFonts w:ascii="Arial" w:eastAsia="Times New Roman" w:hAnsi="Arial" w:cs="Arial"/>
          <w:bCs/>
          <w:sz w:val="24"/>
          <w:szCs w:val="24"/>
        </w:rPr>
        <w:t xml:space="preserve">In order to further investigate possible presynaptic, metabotropic glutamate receptor action on the motor nerve terminals, the common </w:t>
      </w:r>
      <w:r w:rsidR="00466177" w:rsidRPr="00782D7B">
        <w:rPr>
          <w:rFonts w:ascii="Arial" w:hAnsi="Arial" w:cs="Arial"/>
          <w:sz w:val="24"/>
          <w:szCs w:val="24"/>
        </w:rPr>
        <w:t xml:space="preserve">metabotropic </w:t>
      </w:r>
      <w:r w:rsidR="00466177" w:rsidRPr="00782D7B">
        <w:rPr>
          <w:rStyle w:val="Emphasis"/>
          <w:rFonts w:ascii="Arial" w:hAnsi="Arial" w:cs="Arial"/>
          <w:b w:val="0"/>
          <w:sz w:val="24"/>
          <w:szCs w:val="24"/>
        </w:rPr>
        <w:t>glutamate</w:t>
      </w:r>
      <w:r w:rsidR="00466177" w:rsidRPr="00782D7B">
        <w:rPr>
          <w:rFonts w:ascii="Arial" w:hAnsi="Arial" w:cs="Arial"/>
          <w:b/>
          <w:sz w:val="24"/>
          <w:szCs w:val="24"/>
        </w:rPr>
        <w:t xml:space="preserve"> </w:t>
      </w:r>
      <w:r w:rsidR="00466177" w:rsidRPr="00782D7B">
        <w:rPr>
          <w:rFonts w:ascii="Arial" w:hAnsi="Arial" w:cs="Arial"/>
          <w:sz w:val="24"/>
          <w:szCs w:val="24"/>
        </w:rPr>
        <w:t xml:space="preserve">receptor agonist trans-1-aminocyclopentane-1,3-dicarboxylic acid </w:t>
      </w:r>
      <w:r w:rsidR="00466177" w:rsidRPr="00782D7B">
        <w:rPr>
          <w:rFonts w:ascii="Arial" w:hAnsi="Arial" w:cs="Arial"/>
          <w:b/>
          <w:sz w:val="24"/>
          <w:szCs w:val="24"/>
        </w:rPr>
        <w:t>(</w:t>
      </w:r>
      <w:r w:rsidR="00466177" w:rsidRPr="00782D7B">
        <w:rPr>
          <w:rStyle w:val="Emphasis"/>
          <w:rFonts w:ascii="Arial" w:hAnsi="Arial" w:cs="Arial"/>
          <w:b w:val="0"/>
          <w:sz w:val="24"/>
          <w:szCs w:val="24"/>
        </w:rPr>
        <w:t>t</w:t>
      </w:r>
      <w:r w:rsidR="00466177" w:rsidRPr="00782D7B">
        <w:rPr>
          <w:rFonts w:ascii="Arial" w:hAnsi="Arial" w:cs="Arial"/>
          <w:b/>
          <w:sz w:val="24"/>
          <w:szCs w:val="24"/>
        </w:rPr>
        <w:t>-</w:t>
      </w:r>
      <w:r w:rsidR="00466177" w:rsidRPr="00782D7B">
        <w:rPr>
          <w:rStyle w:val="Emphasis"/>
          <w:rFonts w:ascii="Arial" w:hAnsi="Arial" w:cs="Arial"/>
          <w:b w:val="0"/>
          <w:sz w:val="24"/>
          <w:szCs w:val="24"/>
        </w:rPr>
        <w:t>ACPD</w:t>
      </w:r>
      <w:r w:rsidR="00466177" w:rsidRPr="00782D7B">
        <w:rPr>
          <w:rFonts w:ascii="Arial" w:hAnsi="Arial" w:cs="Arial"/>
          <w:sz w:val="24"/>
          <w:szCs w:val="24"/>
        </w:rPr>
        <w:t>)</w:t>
      </w:r>
      <w:r w:rsidR="008E0384" w:rsidRPr="00782D7B">
        <w:rPr>
          <w:rFonts w:ascii="Arial" w:hAnsi="Arial" w:cs="Arial"/>
          <w:sz w:val="24"/>
          <w:szCs w:val="24"/>
        </w:rPr>
        <w:t xml:space="preserve"> was used. Potentially, an increase or a decrease in the evoked EPSP would be possible </w:t>
      </w:r>
      <w:r w:rsidR="00AD624C" w:rsidRPr="00782D7B">
        <w:rPr>
          <w:rFonts w:ascii="Arial" w:hAnsi="Arial" w:cs="Arial"/>
          <w:sz w:val="24"/>
          <w:szCs w:val="24"/>
        </w:rPr>
        <w:t>at</w:t>
      </w:r>
      <w:r w:rsidR="008E0384" w:rsidRPr="00782D7B">
        <w:rPr>
          <w:rFonts w:ascii="Arial" w:hAnsi="Arial" w:cs="Arial"/>
          <w:sz w:val="24"/>
          <w:szCs w:val="24"/>
        </w:rPr>
        <w:t xml:space="preserve"> this insect NMJ since at the crayfish NMJ (also an arthropod species) </w:t>
      </w:r>
      <w:r w:rsidR="00AD624C" w:rsidRPr="00782D7B">
        <w:rPr>
          <w:rFonts w:ascii="Arial" w:hAnsi="Arial" w:cs="Arial"/>
          <w:sz w:val="24"/>
          <w:szCs w:val="24"/>
        </w:rPr>
        <w:t>an</w:t>
      </w:r>
      <w:r w:rsidR="008E0384" w:rsidRPr="00782D7B">
        <w:rPr>
          <w:rFonts w:ascii="Arial" w:hAnsi="Arial" w:cs="Arial"/>
          <w:sz w:val="24"/>
          <w:szCs w:val="24"/>
        </w:rPr>
        <w:t xml:space="preserve"> effect</w:t>
      </w:r>
      <w:r w:rsidR="005068F3" w:rsidRPr="00782D7B">
        <w:rPr>
          <w:rFonts w:ascii="Arial" w:hAnsi="Arial" w:cs="Arial"/>
          <w:sz w:val="24"/>
          <w:szCs w:val="24"/>
        </w:rPr>
        <w:t xml:space="preserve"> was reported (Schramm and Dudel, 1997)</w:t>
      </w:r>
      <w:r w:rsidR="008E0384" w:rsidRPr="00782D7B">
        <w:rPr>
          <w:rFonts w:ascii="Arial" w:hAnsi="Arial" w:cs="Arial"/>
          <w:sz w:val="24"/>
          <w:szCs w:val="24"/>
        </w:rPr>
        <w:t xml:space="preserve">. However, no significant </w:t>
      </w:r>
      <w:r w:rsidR="00AD624C" w:rsidRPr="00782D7B">
        <w:rPr>
          <w:rFonts w:ascii="Arial" w:hAnsi="Arial" w:cs="Arial"/>
          <w:sz w:val="24"/>
          <w:szCs w:val="24"/>
        </w:rPr>
        <w:t>alterations</w:t>
      </w:r>
      <w:r w:rsidR="008E0384" w:rsidRPr="00782D7B">
        <w:rPr>
          <w:rFonts w:ascii="Arial" w:hAnsi="Arial" w:cs="Arial"/>
          <w:sz w:val="24"/>
          <w:szCs w:val="24"/>
        </w:rPr>
        <w:t xml:space="preserve"> on evoked EPSPs </w:t>
      </w:r>
      <w:r w:rsidR="008E0384" w:rsidRPr="00782D7B">
        <w:rPr>
          <w:rFonts w:ascii="Arial" w:hAnsi="Arial" w:cs="Arial"/>
          <w:sz w:val="24"/>
          <w:szCs w:val="24"/>
        </w:rPr>
        <w:lastRenderedPageBreak/>
        <w:t>amplitudes (</w:t>
      </w:r>
      <w:r w:rsidR="008E0384" w:rsidRPr="00782D7B">
        <w:rPr>
          <w:rFonts w:ascii="Arial" w:hAnsi="Arial" w:cs="Arial"/>
          <w:b/>
          <w:sz w:val="24"/>
          <w:szCs w:val="24"/>
        </w:rPr>
        <w:t xml:space="preserve">Figure </w:t>
      </w:r>
      <w:r w:rsidR="00BE7713">
        <w:rPr>
          <w:rFonts w:ascii="Arial" w:hAnsi="Arial" w:cs="Arial"/>
          <w:b/>
          <w:sz w:val="24"/>
          <w:szCs w:val="24"/>
        </w:rPr>
        <w:t>9</w:t>
      </w:r>
      <w:r w:rsidR="008E0384" w:rsidRPr="00782D7B">
        <w:rPr>
          <w:rFonts w:ascii="Arial" w:hAnsi="Arial" w:cs="Arial"/>
          <w:b/>
          <w:sz w:val="24"/>
          <w:szCs w:val="24"/>
        </w:rPr>
        <w:t>A,</w:t>
      </w:r>
      <w:r w:rsidR="00241545" w:rsidRPr="00782D7B">
        <w:rPr>
          <w:rFonts w:ascii="Arial" w:hAnsi="Arial" w:cs="Arial"/>
          <w:b/>
          <w:sz w:val="24"/>
          <w:szCs w:val="24"/>
        </w:rPr>
        <w:t xml:space="preserve"> </w:t>
      </w:r>
      <w:r w:rsidR="008E0384" w:rsidRPr="00782D7B">
        <w:rPr>
          <w:rFonts w:ascii="Arial" w:hAnsi="Arial" w:cs="Arial"/>
          <w:b/>
          <w:sz w:val="24"/>
          <w:szCs w:val="24"/>
        </w:rPr>
        <w:t>B</w:t>
      </w:r>
      <w:r w:rsidR="008E0384" w:rsidRPr="00782D7B">
        <w:rPr>
          <w:rFonts w:ascii="Arial" w:hAnsi="Arial" w:cs="Arial"/>
          <w:sz w:val="24"/>
          <w:szCs w:val="24"/>
        </w:rPr>
        <w:t xml:space="preserve">) </w:t>
      </w:r>
      <w:r w:rsidR="008E4CBF" w:rsidRPr="00782D7B">
        <w:rPr>
          <w:rFonts w:ascii="Arial" w:hAnsi="Arial" w:cs="Arial"/>
          <w:sz w:val="24"/>
          <w:szCs w:val="24"/>
        </w:rPr>
        <w:t>or</w:t>
      </w:r>
      <w:r w:rsidR="008E0384" w:rsidRPr="00782D7B">
        <w:rPr>
          <w:rFonts w:ascii="Arial" w:hAnsi="Arial" w:cs="Arial"/>
          <w:sz w:val="24"/>
          <w:szCs w:val="24"/>
        </w:rPr>
        <w:t xml:space="preserve"> on the resting membrane potential of the muscle occurred during exposure to </w:t>
      </w:r>
      <w:r w:rsidR="008E0384" w:rsidRPr="00782D7B">
        <w:rPr>
          <w:rStyle w:val="Emphasis"/>
          <w:rFonts w:ascii="Arial" w:hAnsi="Arial" w:cs="Arial"/>
          <w:b w:val="0"/>
          <w:sz w:val="24"/>
          <w:szCs w:val="24"/>
        </w:rPr>
        <w:t>t</w:t>
      </w:r>
      <w:r w:rsidR="008E0384" w:rsidRPr="00782D7B">
        <w:rPr>
          <w:rFonts w:ascii="Arial" w:hAnsi="Arial" w:cs="Arial"/>
          <w:b/>
          <w:sz w:val="24"/>
          <w:szCs w:val="24"/>
        </w:rPr>
        <w:t>-</w:t>
      </w:r>
      <w:r w:rsidR="008E0384" w:rsidRPr="00782D7B">
        <w:rPr>
          <w:rStyle w:val="Emphasis"/>
          <w:rFonts w:ascii="Arial" w:hAnsi="Arial" w:cs="Arial"/>
          <w:b w:val="0"/>
          <w:sz w:val="24"/>
          <w:szCs w:val="24"/>
        </w:rPr>
        <w:t>ACPD</w:t>
      </w:r>
      <w:r w:rsidR="008E0384" w:rsidRPr="00782D7B">
        <w:rPr>
          <w:rFonts w:ascii="Arial" w:hAnsi="Arial" w:cs="Arial"/>
          <w:sz w:val="24"/>
          <w:szCs w:val="24"/>
        </w:rPr>
        <w:t xml:space="preserve"> (500μM)</w:t>
      </w:r>
      <w:r w:rsidR="00360776">
        <w:rPr>
          <w:rFonts w:ascii="Arial" w:hAnsi="Arial" w:cs="Arial"/>
          <w:sz w:val="24"/>
          <w:szCs w:val="24"/>
        </w:rPr>
        <w:t>.</w:t>
      </w:r>
      <w:r w:rsidR="00F641A7" w:rsidRPr="00782D7B">
        <w:rPr>
          <w:rFonts w:ascii="Arial" w:eastAsia="Times New Roman" w:hAnsi="Arial" w:cs="Arial"/>
          <w:sz w:val="24"/>
          <w:szCs w:val="24"/>
        </w:rPr>
        <w:t xml:space="preserve"> </w:t>
      </w:r>
      <w:r w:rsidR="00757C88" w:rsidRPr="00782D7B">
        <w:rPr>
          <w:rFonts w:ascii="Arial" w:eastAsia="Times New Roman" w:hAnsi="Arial" w:cs="Arial"/>
          <w:sz w:val="24"/>
          <w:szCs w:val="24"/>
        </w:rPr>
        <w:t>In comparison to the sham saline control (</w:t>
      </w:r>
      <w:r w:rsidR="00757C88" w:rsidRPr="00782D7B">
        <w:rPr>
          <w:rFonts w:ascii="Arial" w:eastAsia="Times New Roman" w:hAnsi="Arial" w:cs="Arial"/>
          <w:b/>
          <w:sz w:val="24"/>
          <w:szCs w:val="24"/>
        </w:rPr>
        <w:t>Figure 2D</w:t>
      </w:r>
      <w:r w:rsidR="00757C88" w:rsidRPr="00782D7B">
        <w:rPr>
          <w:rFonts w:ascii="Arial" w:eastAsia="Times New Roman" w:hAnsi="Arial" w:cs="Arial"/>
          <w:sz w:val="24"/>
          <w:szCs w:val="24"/>
        </w:rPr>
        <w:t>), the distributi</w:t>
      </w:r>
      <w:r w:rsidR="00885DFE" w:rsidRPr="00782D7B">
        <w:rPr>
          <w:rFonts w:ascii="Arial" w:eastAsia="Times New Roman" w:hAnsi="Arial" w:cs="Arial"/>
          <w:sz w:val="24"/>
          <w:szCs w:val="24"/>
        </w:rPr>
        <w:t>ons in EPSP amplitudes over lap; thus, the slight reduction in EPSP amplitudes with t-ACPD are not significant.</w:t>
      </w:r>
    </w:p>
    <w:p w:rsidR="008E4CBF" w:rsidRPr="00782D7B" w:rsidRDefault="00373739" w:rsidP="008E4CBF">
      <w:pPr>
        <w:tabs>
          <w:tab w:val="left" w:pos="-1440"/>
        </w:tabs>
        <w:spacing w:line="480" w:lineRule="auto"/>
        <w:jc w:val="both"/>
        <w:rPr>
          <w:rFonts w:ascii="Arial" w:eastAsia="Times New Roman" w:hAnsi="Arial" w:cs="Arial"/>
          <w:b/>
          <w:sz w:val="24"/>
          <w:szCs w:val="24"/>
        </w:rPr>
      </w:pPr>
      <w:r>
        <w:rPr>
          <w:rFonts w:ascii="Arial" w:eastAsia="Times New Roman" w:hAnsi="Arial" w:cs="Arial"/>
          <w:b/>
          <w:sz w:val="24"/>
          <w:szCs w:val="24"/>
        </w:rPr>
        <w:t xml:space="preserve">4. </w:t>
      </w:r>
      <w:r w:rsidR="008E0384" w:rsidRPr="00782D7B">
        <w:rPr>
          <w:rFonts w:ascii="Arial" w:eastAsia="Times New Roman" w:hAnsi="Arial" w:cs="Arial"/>
          <w:b/>
          <w:sz w:val="24"/>
          <w:szCs w:val="24"/>
        </w:rPr>
        <w:t>Discussion</w:t>
      </w:r>
    </w:p>
    <w:p w:rsidR="00ED3A12" w:rsidRPr="00782D7B" w:rsidRDefault="00146203" w:rsidP="002F125E">
      <w:pPr>
        <w:spacing w:line="480" w:lineRule="auto"/>
        <w:jc w:val="both"/>
        <w:rPr>
          <w:rFonts w:ascii="Arial" w:eastAsia="Times New Roman" w:hAnsi="Arial" w:cs="Arial"/>
          <w:sz w:val="24"/>
          <w:szCs w:val="24"/>
        </w:rPr>
      </w:pPr>
      <w:r w:rsidRPr="00782D7B">
        <w:rPr>
          <w:rFonts w:ascii="Arial" w:eastAsia="Times New Roman" w:hAnsi="Arial" w:cs="Arial"/>
          <w:sz w:val="24"/>
          <w:szCs w:val="24"/>
        </w:rPr>
        <w:tab/>
        <w:t>In this study we showed</w:t>
      </w:r>
      <w:r w:rsidR="00E93249" w:rsidRPr="00782D7B">
        <w:rPr>
          <w:rFonts w:ascii="Arial" w:eastAsia="Times New Roman" w:hAnsi="Arial" w:cs="Arial"/>
          <w:sz w:val="24"/>
          <w:szCs w:val="24"/>
        </w:rPr>
        <w:t>,</w:t>
      </w:r>
      <w:r w:rsidRPr="00782D7B">
        <w:rPr>
          <w:rFonts w:ascii="Arial" w:eastAsia="Times New Roman" w:hAnsi="Arial" w:cs="Arial"/>
          <w:sz w:val="24"/>
          <w:szCs w:val="24"/>
        </w:rPr>
        <w:t xml:space="preserve"> in a</w:t>
      </w:r>
      <w:r w:rsidR="00F9240B">
        <w:rPr>
          <w:rFonts w:ascii="Arial" w:eastAsia="Times New Roman" w:hAnsi="Arial" w:cs="Arial"/>
          <w:sz w:val="24"/>
          <w:szCs w:val="24"/>
        </w:rPr>
        <w:t xml:space="preserve"> concentration-depende</w:t>
      </w:r>
      <w:r w:rsidRPr="00782D7B">
        <w:rPr>
          <w:rFonts w:ascii="Arial" w:eastAsia="Times New Roman" w:hAnsi="Arial" w:cs="Arial"/>
          <w:sz w:val="24"/>
          <w:szCs w:val="24"/>
        </w:rPr>
        <w:t>nt manner</w:t>
      </w:r>
      <w:r w:rsidR="00E93249" w:rsidRPr="00782D7B">
        <w:rPr>
          <w:rFonts w:ascii="Arial" w:eastAsia="Times New Roman" w:hAnsi="Arial" w:cs="Arial"/>
          <w:sz w:val="24"/>
          <w:szCs w:val="24"/>
        </w:rPr>
        <w:t xml:space="preserve">, that </w:t>
      </w:r>
      <w:r w:rsidR="008E4CBF" w:rsidRPr="00782D7B">
        <w:rPr>
          <w:rFonts w:ascii="Arial" w:eastAsia="Times New Roman" w:hAnsi="Arial" w:cs="Arial"/>
          <w:sz w:val="24"/>
          <w:szCs w:val="24"/>
        </w:rPr>
        <w:t>kainate rapidly</w:t>
      </w:r>
      <w:r w:rsidRPr="00782D7B">
        <w:rPr>
          <w:rFonts w:ascii="Arial" w:eastAsia="Times New Roman" w:hAnsi="Arial" w:cs="Arial"/>
          <w:sz w:val="24"/>
          <w:szCs w:val="24"/>
        </w:rPr>
        <w:t xml:space="preserve"> reduced the amplitude of evoked EPSPs as well as the spontaneous quantal events</w:t>
      </w:r>
      <w:r w:rsidR="008E4230" w:rsidRPr="00782D7B">
        <w:rPr>
          <w:rFonts w:ascii="Arial" w:eastAsia="Times New Roman" w:hAnsi="Arial" w:cs="Arial"/>
          <w:sz w:val="24"/>
          <w:szCs w:val="24"/>
        </w:rPr>
        <w:t xml:space="preserve">. </w:t>
      </w:r>
      <w:r w:rsidR="002F125E">
        <w:rPr>
          <w:rFonts w:ascii="ArialMT" w:hAnsi="ArialMT" w:cs="ArialMT"/>
          <w:sz w:val="24"/>
        </w:rPr>
        <w:t>The lack of any response to t-ACPD</w:t>
      </w:r>
      <w:r w:rsidR="002F125E" w:rsidRPr="002F125E">
        <w:rPr>
          <w:rFonts w:ascii="Arial" w:eastAsia="Times New Roman" w:hAnsi="Arial" w:cs="Arial"/>
          <w:sz w:val="24"/>
          <w:szCs w:val="24"/>
        </w:rPr>
        <w:t xml:space="preserve"> </w:t>
      </w:r>
      <w:r w:rsidR="002F125E" w:rsidRPr="00782D7B">
        <w:rPr>
          <w:rFonts w:ascii="Arial" w:eastAsia="Times New Roman" w:hAnsi="Arial" w:cs="Arial"/>
          <w:sz w:val="24"/>
          <w:szCs w:val="24"/>
        </w:rPr>
        <w:t xml:space="preserve">and ATPA </w:t>
      </w:r>
      <w:r w:rsidR="002F125E">
        <w:rPr>
          <w:rFonts w:ascii="Arial" w:eastAsia="Times New Roman" w:hAnsi="Arial" w:cs="Arial"/>
          <w:sz w:val="24"/>
          <w:szCs w:val="24"/>
        </w:rPr>
        <w:t xml:space="preserve"> </w:t>
      </w:r>
      <w:r w:rsidR="002F125E">
        <w:rPr>
          <w:rFonts w:ascii="ArialMT" w:hAnsi="ArialMT" w:cs="ArialMT"/>
          <w:sz w:val="24"/>
        </w:rPr>
        <w:t>as well as the inability of these compounds to mimic kainate’s</w:t>
      </w:r>
      <w:r w:rsidR="008E4230" w:rsidRPr="00782D7B">
        <w:rPr>
          <w:rFonts w:ascii="Arial" w:eastAsia="Times New Roman" w:hAnsi="Arial" w:cs="Arial"/>
          <w:sz w:val="24"/>
          <w:szCs w:val="24"/>
        </w:rPr>
        <w:t xml:space="preserve"> action suggest that there is not a presynaptic </w:t>
      </w:r>
      <w:r w:rsidR="00E93249" w:rsidRPr="00782D7B">
        <w:rPr>
          <w:rFonts w:ascii="Arial" w:eastAsia="Times New Roman" w:hAnsi="Arial" w:cs="Arial"/>
          <w:sz w:val="24"/>
          <w:szCs w:val="24"/>
        </w:rPr>
        <w:t>mechanism</w:t>
      </w:r>
      <w:r w:rsidR="008E4230" w:rsidRPr="00782D7B">
        <w:rPr>
          <w:rFonts w:ascii="Arial" w:eastAsia="Times New Roman" w:hAnsi="Arial" w:cs="Arial"/>
          <w:sz w:val="24"/>
          <w:szCs w:val="24"/>
        </w:rPr>
        <w:t xml:space="preserve"> of kainate-like or metabotropic autoreceptor</w:t>
      </w:r>
      <w:r w:rsidR="00E93249" w:rsidRPr="00782D7B">
        <w:rPr>
          <w:rFonts w:ascii="Arial" w:eastAsia="Times New Roman" w:hAnsi="Arial" w:cs="Arial"/>
          <w:sz w:val="24"/>
          <w:szCs w:val="24"/>
        </w:rPr>
        <w:t>s on these motor nerve terminals</w:t>
      </w:r>
      <w:r w:rsidR="008E4230" w:rsidRPr="00782D7B">
        <w:rPr>
          <w:rFonts w:ascii="Arial" w:eastAsia="Times New Roman" w:hAnsi="Arial" w:cs="Arial"/>
          <w:sz w:val="24"/>
          <w:szCs w:val="24"/>
        </w:rPr>
        <w:t xml:space="preserve">. However, the </w:t>
      </w:r>
      <w:r w:rsidR="008E4230" w:rsidRPr="00782D7B">
        <w:rPr>
          <w:rFonts w:ascii="Arial" w:hAnsi="Arial" w:cs="Arial"/>
          <w:sz w:val="24"/>
          <w:szCs w:val="24"/>
        </w:rPr>
        <w:t>kainate receptor agonist, domoic acid, did follow the actions of kainate</w:t>
      </w:r>
      <w:r w:rsidR="00C039CA" w:rsidRPr="00782D7B">
        <w:rPr>
          <w:rFonts w:ascii="Arial" w:hAnsi="Arial" w:cs="Arial"/>
          <w:sz w:val="24"/>
          <w:szCs w:val="24"/>
        </w:rPr>
        <w:t xml:space="preserve"> in reducing the evoked EPSPs</w:t>
      </w:r>
      <w:r w:rsidR="008E4230" w:rsidRPr="00782D7B">
        <w:rPr>
          <w:rFonts w:ascii="Arial" w:hAnsi="Arial" w:cs="Arial"/>
          <w:sz w:val="24"/>
          <w:szCs w:val="24"/>
        </w:rPr>
        <w:t>.</w:t>
      </w:r>
      <w:r w:rsidR="00E93249" w:rsidRPr="00782D7B">
        <w:rPr>
          <w:rFonts w:ascii="Arial" w:hAnsi="Arial" w:cs="Arial"/>
          <w:sz w:val="24"/>
          <w:szCs w:val="24"/>
        </w:rPr>
        <w:t xml:space="preserve"> </w:t>
      </w:r>
      <w:r w:rsidR="00FC6DE7" w:rsidRPr="00782D7B">
        <w:rPr>
          <w:rFonts w:ascii="Arial" w:hAnsi="Arial" w:cs="Arial"/>
          <w:sz w:val="24"/>
          <w:szCs w:val="24"/>
        </w:rPr>
        <w:t>W</w:t>
      </w:r>
      <w:r w:rsidR="008E4230" w:rsidRPr="00782D7B">
        <w:rPr>
          <w:rFonts w:ascii="Arial" w:eastAsia="Times New Roman" w:hAnsi="Arial" w:cs="Arial"/>
          <w:sz w:val="24"/>
          <w:szCs w:val="24"/>
        </w:rPr>
        <w:t>e</w:t>
      </w:r>
      <w:r w:rsidRPr="00782D7B">
        <w:rPr>
          <w:rFonts w:ascii="Arial" w:eastAsia="Times New Roman" w:hAnsi="Arial" w:cs="Arial"/>
          <w:sz w:val="24"/>
          <w:szCs w:val="24"/>
        </w:rPr>
        <w:t xml:space="preserve"> suggest</w:t>
      </w:r>
      <w:r w:rsidR="00E93249" w:rsidRPr="00782D7B">
        <w:rPr>
          <w:rFonts w:ascii="Arial" w:eastAsia="Times New Roman" w:hAnsi="Arial" w:cs="Arial"/>
          <w:sz w:val="24"/>
          <w:szCs w:val="24"/>
        </w:rPr>
        <w:t xml:space="preserve"> this action is due to</w:t>
      </w:r>
      <w:r w:rsidR="008E4230" w:rsidRPr="00782D7B">
        <w:rPr>
          <w:rFonts w:ascii="Arial" w:eastAsia="Times New Roman" w:hAnsi="Arial" w:cs="Arial"/>
          <w:sz w:val="24"/>
          <w:szCs w:val="24"/>
        </w:rPr>
        <w:t xml:space="preserve"> domoic acid and kainate act</w:t>
      </w:r>
      <w:r w:rsidR="00E93249" w:rsidRPr="00782D7B">
        <w:rPr>
          <w:rFonts w:ascii="Arial" w:eastAsia="Times New Roman" w:hAnsi="Arial" w:cs="Arial"/>
          <w:sz w:val="24"/>
          <w:szCs w:val="24"/>
        </w:rPr>
        <w:t>ing</w:t>
      </w:r>
      <w:r w:rsidR="008E4230" w:rsidRPr="00782D7B">
        <w:rPr>
          <w:rFonts w:ascii="Arial" w:eastAsia="Times New Roman" w:hAnsi="Arial" w:cs="Arial"/>
          <w:sz w:val="24"/>
          <w:szCs w:val="24"/>
        </w:rPr>
        <w:t xml:space="preserve"> as</w:t>
      </w:r>
      <w:r w:rsidR="00E93249" w:rsidRPr="00782D7B">
        <w:rPr>
          <w:rFonts w:ascii="Arial" w:eastAsia="Times New Roman" w:hAnsi="Arial" w:cs="Arial"/>
          <w:sz w:val="24"/>
          <w:szCs w:val="24"/>
        </w:rPr>
        <w:t xml:space="preserve"> an</w:t>
      </w:r>
      <w:r w:rsidRPr="00782D7B">
        <w:rPr>
          <w:rFonts w:ascii="Arial" w:eastAsia="Times New Roman" w:hAnsi="Arial" w:cs="Arial"/>
          <w:sz w:val="24"/>
          <w:szCs w:val="24"/>
        </w:rPr>
        <w:t xml:space="preserve"> antagonist</w:t>
      </w:r>
      <w:r w:rsidR="008E4230" w:rsidRPr="00782D7B">
        <w:rPr>
          <w:rFonts w:ascii="Arial" w:eastAsia="Times New Roman" w:hAnsi="Arial" w:cs="Arial"/>
          <w:sz w:val="24"/>
          <w:szCs w:val="24"/>
        </w:rPr>
        <w:t xml:space="preserve"> </w:t>
      </w:r>
      <w:r w:rsidRPr="00782D7B">
        <w:rPr>
          <w:rFonts w:ascii="Arial" w:eastAsia="Times New Roman" w:hAnsi="Arial" w:cs="Arial"/>
          <w:sz w:val="24"/>
          <w:szCs w:val="24"/>
        </w:rPr>
        <w:t xml:space="preserve">on the </w:t>
      </w:r>
      <w:r w:rsidR="008E4230" w:rsidRPr="00782D7B">
        <w:rPr>
          <w:rFonts w:ascii="Arial" w:eastAsia="Times New Roman" w:hAnsi="Arial" w:cs="Arial"/>
          <w:sz w:val="24"/>
          <w:szCs w:val="24"/>
        </w:rPr>
        <w:t xml:space="preserve">postsynaptic </w:t>
      </w:r>
      <w:r w:rsidR="008E4230" w:rsidRPr="00782D7B">
        <w:rPr>
          <w:rFonts w:ascii="Arial" w:hAnsi="Arial" w:cs="Arial"/>
          <w:sz w:val="24"/>
          <w:szCs w:val="24"/>
        </w:rPr>
        <w:t xml:space="preserve">quisqualate </w:t>
      </w:r>
      <w:r w:rsidRPr="00782D7B">
        <w:rPr>
          <w:rFonts w:ascii="Arial" w:eastAsia="Times New Roman" w:hAnsi="Arial" w:cs="Arial"/>
          <w:sz w:val="24"/>
          <w:szCs w:val="24"/>
        </w:rPr>
        <w:t xml:space="preserve">receptors </w:t>
      </w:r>
      <w:r w:rsidR="00C039CA" w:rsidRPr="00782D7B">
        <w:rPr>
          <w:rFonts w:ascii="Arial" w:eastAsia="Times New Roman" w:hAnsi="Arial" w:cs="Arial"/>
          <w:sz w:val="24"/>
          <w:szCs w:val="24"/>
        </w:rPr>
        <w:t>present on</w:t>
      </w:r>
      <w:r w:rsidRPr="00782D7B">
        <w:rPr>
          <w:rFonts w:ascii="Arial" w:eastAsia="Times New Roman" w:hAnsi="Arial" w:cs="Arial"/>
          <w:sz w:val="24"/>
          <w:szCs w:val="24"/>
        </w:rPr>
        <w:t xml:space="preserve"> muscle</w:t>
      </w:r>
      <w:r w:rsidR="008E4230" w:rsidRPr="00782D7B">
        <w:rPr>
          <w:rFonts w:ascii="Arial" w:eastAsia="Times New Roman" w:hAnsi="Arial" w:cs="Arial"/>
          <w:sz w:val="24"/>
          <w:szCs w:val="24"/>
        </w:rPr>
        <w:t xml:space="preserve"> and that no presynaptic contribution can be proposed for the </w:t>
      </w:r>
      <w:r w:rsidR="00E93249" w:rsidRPr="00782D7B">
        <w:rPr>
          <w:rFonts w:ascii="Arial" w:eastAsia="Times New Roman" w:hAnsi="Arial" w:cs="Arial"/>
          <w:sz w:val="24"/>
          <w:szCs w:val="24"/>
        </w:rPr>
        <w:t xml:space="preserve">rapid </w:t>
      </w:r>
      <w:r w:rsidR="008E4230" w:rsidRPr="00782D7B">
        <w:rPr>
          <w:rFonts w:ascii="Arial" w:eastAsia="Times New Roman" w:hAnsi="Arial" w:cs="Arial"/>
          <w:sz w:val="24"/>
          <w:szCs w:val="24"/>
        </w:rPr>
        <w:t>reduced amplitude in the</w:t>
      </w:r>
      <w:r w:rsidR="002F125E">
        <w:rPr>
          <w:rFonts w:ascii="Arial" w:eastAsia="Times New Roman" w:hAnsi="Arial" w:cs="Arial"/>
          <w:sz w:val="24"/>
          <w:szCs w:val="24"/>
        </w:rPr>
        <w:t xml:space="preserve"> amplitude of </w:t>
      </w:r>
      <w:r w:rsidR="008E4230" w:rsidRPr="00782D7B">
        <w:rPr>
          <w:rFonts w:ascii="Arial" w:eastAsia="Times New Roman" w:hAnsi="Arial" w:cs="Arial"/>
          <w:sz w:val="24"/>
          <w:szCs w:val="24"/>
        </w:rPr>
        <w:t xml:space="preserve">evoked EPSP and quantal responses. </w:t>
      </w:r>
      <w:r w:rsidR="00507BE6">
        <w:rPr>
          <w:rFonts w:ascii="Arial" w:eastAsia="Times New Roman" w:hAnsi="Arial" w:cs="Arial"/>
          <w:sz w:val="24"/>
          <w:szCs w:val="24"/>
        </w:rPr>
        <w:t xml:space="preserve">The agonist action of SYM 2081 at high concentration suggests that this compound may have some action on </w:t>
      </w:r>
      <w:r w:rsidR="00507BE6" w:rsidRPr="00782D7B">
        <w:rPr>
          <w:rFonts w:ascii="Arial" w:hAnsi="Arial" w:cs="Arial"/>
          <w:sz w:val="24"/>
          <w:szCs w:val="24"/>
        </w:rPr>
        <w:t xml:space="preserve">quisqualate </w:t>
      </w:r>
      <w:r w:rsidR="00507BE6" w:rsidRPr="00782D7B">
        <w:rPr>
          <w:rFonts w:ascii="Arial" w:eastAsia="Times New Roman" w:hAnsi="Arial" w:cs="Arial"/>
          <w:sz w:val="24"/>
          <w:szCs w:val="24"/>
        </w:rPr>
        <w:t>receptors</w:t>
      </w:r>
      <w:r w:rsidR="00507BE6">
        <w:rPr>
          <w:rFonts w:ascii="Arial" w:eastAsia="Times New Roman" w:hAnsi="Arial" w:cs="Arial"/>
          <w:sz w:val="24"/>
          <w:szCs w:val="24"/>
        </w:rPr>
        <w:t xml:space="preserve">, perhaps </w:t>
      </w:r>
      <w:r w:rsidR="000D0A2C">
        <w:rPr>
          <w:rFonts w:ascii="Arial" w:eastAsia="Times New Roman" w:hAnsi="Arial" w:cs="Arial"/>
          <w:sz w:val="24"/>
          <w:szCs w:val="24"/>
        </w:rPr>
        <w:t xml:space="preserve">even </w:t>
      </w:r>
      <w:r w:rsidR="00507BE6">
        <w:rPr>
          <w:rFonts w:ascii="Arial" w:eastAsia="Times New Roman" w:hAnsi="Arial" w:cs="Arial"/>
          <w:sz w:val="24"/>
          <w:szCs w:val="24"/>
        </w:rPr>
        <w:t>in other invertebrates. However</w:t>
      </w:r>
      <w:r w:rsidR="000D0A2C">
        <w:rPr>
          <w:rFonts w:ascii="Arial" w:eastAsia="Times New Roman" w:hAnsi="Arial" w:cs="Arial"/>
          <w:sz w:val="24"/>
          <w:szCs w:val="24"/>
        </w:rPr>
        <w:t>,</w:t>
      </w:r>
      <w:r w:rsidR="00507BE6">
        <w:rPr>
          <w:rFonts w:ascii="Arial" w:eastAsia="Times New Roman" w:hAnsi="Arial" w:cs="Arial"/>
          <w:sz w:val="24"/>
          <w:szCs w:val="24"/>
        </w:rPr>
        <w:t xml:space="preserve"> </w:t>
      </w:r>
      <w:r w:rsidR="000D0A2C">
        <w:rPr>
          <w:rFonts w:ascii="Arial" w:eastAsia="Times New Roman" w:hAnsi="Arial" w:cs="Arial"/>
          <w:sz w:val="24"/>
          <w:szCs w:val="24"/>
        </w:rPr>
        <w:t>SYM 2081</w:t>
      </w:r>
      <w:r w:rsidR="00507BE6">
        <w:rPr>
          <w:rFonts w:ascii="Arial" w:eastAsia="Times New Roman" w:hAnsi="Arial" w:cs="Arial"/>
          <w:sz w:val="24"/>
          <w:szCs w:val="24"/>
        </w:rPr>
        <w:t xml:space="preserve"> does behave like kainate in this preparation. </w:t>
      </w:r>
      <w:r w:rsidR="008E4230" w:rsidRPr="00782D7B">
        <w:rPr>
          <w:rFonts w:ascii="Arial" w:eastAsia="Times New Roman" w:hAnsi="Arial" w:cs="Arial"/>
          <w:sz w:val="24"/>
          <w:szCs w:val="24"/>
        </w:rPr>
        <w:t xml:space="preserve">The reduced frequency in the spontaneous quantal responses in the presence of kainate or domoic acid appears to be due to the responses decreasing in size </w:t>
      </w:r>
      <w:r w:rsidR="000D0A2C">
        <w:rPr>
          <w:rFonts w:ascii="Arial" w:eastAsia="Times New Roman" w:hAnsi="Arial" w:cs="Arial"/>
          <w:sz w:val="24"/>
          <w:szCs w:val="24"/>
        </w:rPr>
        <w:t>so they are</w:t>
      </w:r>
      <w:r w:rsidR="008E4230" w:rsidRPr="00782D7B">
        <w:rPr>
          <w:rFonts w:ascii="Arial" w:eastAsia="Times New Roman" w:hAnsi="Arial" w:cs="Arial"/>
          <w:sz w:val="24"/>
          <w:szCs w:val="24"/>
        </w:rPr>
        <w:t xml:space="preserve"> not detectable from the noise or that the postsynaptic receptors are fully blocked.</w:t>
      </w:r>
    </w:p>
    <w:p w:rsidR="00C039CA" w:rsidRPr="00782D7B" w:rsidRDefault="008E4230" w:rsidP="00F0786C">
      <w:pPr>
        <w:spacing w:line="480" w:lineRule="auto"/>
        <w:jc w:val="both"/>
        <w:rPr>
          <w:rFonts w:ascii="Arial" w:hAnsi="Arial" w:cs="Arial"/>
          <w:sz w:val="24"/>
          <w:szCs w:val="24"/>
        </w:rPr>
      </w:pPr>
      <w:r w:rsidRPr="00782D7B">
        <w:rPr>
          <w:rFonts w:ascii="Arial" w:hAnsi="Arial" w:cs="Arial"/>
          <w:sz w:val="24"/>
          <w:szCs w:val="24"/>
        </w:rPr>
        <w:lastRenderedPageBreak/>
        <w:tab/>
      </w:r>
      <w:r w:rsidR="003D6FE3" w:rsidRPr="00782D7B">
        <w:rPr>
          <w:rFonts w:ascii="Arial" w:hAnsi="Arial" w:cs="Arial"/>
          <w:sz w:val="24"/>
          <w:szCs w:val="24"/>
        </w:rPr>
        <w:t xml:space="preserve">The responses observed at the crayfish NMJ </w:t>
      </w:r>
      <w:r w:rsidR="002F125E">
        <w:rPr>
          <w:rFonts w:ascii="ArialMT" w:hAnsi="ArialMT" w:cs="ArialMT"/>
          <w:sz w:val="24"/>
        </w:rPr>
        <w:t xml:space="preserve">by Schramm and Dudel (1997), </w:t>
      </w:r>
      <w:r w:rsidR="000D0A2C">
        <w:rPr>
          <w:rFonts w:ascii="ArialMT" w:hAnsi="ArialMT" w:cs="ArialMT"/>
          <w:sz w:val="24"/>
        </w:rPr>
        <w:t>were anticipated</w:t>
      </w:r>
      <w:r w:rsidR="002F125E">
        <w:rPr>
          <w:rFonts w:ascii="ArialMT" w:hAnsi="ArialMT" w:cs="ArialMT"/>
          <w:sz w:val="24"/>
        </w:rPr>
        <w:t xml:space="preserve"> to be analogous to the </w:t>
      </w:r>
      <w:r w:rsidR="002F125E">
        <w:rPr>
          <w:rFonts w:ascii="Arial-ItalicMT" w:hAnsi="Arial-ItalicMT" w:cs="Arial-ItalicMT"/>
          <w:i/>
          <w:iCs/>
          <w:sz w:val="24"/>
        </w:rPr>
        <w:t xml:space="preserve">Drosophila </w:t>
      </w:r>
      <w:r w:rsidR="002F125E">
        <w:rPr>
          <w:rFonts w:ascii="ArialMT" w:hAnsi="ArialMT" w:cs="ArialMT"/>
          <w:sz w:val="24"/>
        </w:rPr>
        <w:t>larval NMJ that we used in our study</w:t>
      </w:r>
      <w:r w:rsidR="00881BAF" w:rsidRPr="00782D7B">
        <w:rPr>
          <w:rFonts w:ascii="Arial" w:hAnsi="Arial" w:cs="Arial"/>
          <w:sz w:val="24"/>
          <w:szCs w:val="24"/>
        </w:rPr>
        <w:t xml:space="preserve"> </w:t>
      </w:r>
      <w:r w:rsidR="000D0A2C">
        <w:rPr>
          <w:rFonts w:ascii="Arial" w:hAnsi="Arial" w:cs="Arial"/>
          <w:sz w:val="24"/>
          <w:szCs w:val="24"/>
        </w:rPr>
        <w:t xml:space="preserve">since they are similar in general function and structure </w:t>
      </w:r>
      <w:r w:rsidR="00881BAF" w:rsidRPr="00782D7B">
        <w:rPr>
          <w:rFonts w:ascii="Arial" w:hAnsi="Arial" w:cs="Arial"/>
          <w:sz w:val="24"/>
          <w:szCs w:val="24"/>
        </w:rPr>
        <w:t xml:space="preserve">(Atwood and </w:t>
      </w:r>
      <w:r w:rsidR="00881BAF" w:rsidRPr="00782D7B">
        <w:rPr>
          <w:rFonts w:ascii="Arial" w:hAnsi="Arial" w:cs="Arial"/>
          <w:bCs/>
          <w:sz w:val="24"/>
          <w:szCs w:val="24"/>
        </w:rPr>
        <w:t>Cooper, 1995, 1996</w:t>
      </w:r>
      <w:r w:rsidR="00881BAF" w:rsidRPr="00782D7B">
        <w:rPr>
          <w:rFonts w:ascii="Arial" w:hAnsi="Arial" w:cs="Arial"/>
          <w:sz w:val="24"/>
          <w:szCs w:val="24"/>
        </w:rPr>
        <w:t>)</w:t>
      </w:r>
      <w:r w:rsidR="000D0A2C">
        <w:rPr>
          <w:rFonts w:ascii="Arial" w:hAnsi="Arial" w:cs="Arial"/>
          <w:sz w:val="24"/>
          <w:szCs w:val="24"/>
        </w:rPr>
        <w:t xml:space="preserve">, but there </w:t>
      </w:r>
      <w:r w:rsidR="00E93249" w:rsidRPr="00782D7B">
        <w:rPr>
          <w:rFonts w:ascii="Arial" w:hAnsi="Arial" w:cs="Arial"/>
          <w:sz w:val="24"/>
          <w:szCs w:val="24"/>
        </w:rPr>
        <w:t>must be differe</w:t>
      </w:r>
      <w:r w:rsidR="000D0A2C">
        <w:rPr>
          <w:rFonts w:ascii="Arial" w:hAnsi="Arial" w:cs="Arial"/>
          <w:sz w:val="24"/>
          <w:szCs w:val="24"/>
        </w:rPr>
        <w:t>nces</w:t>
      </w:r>
      <w:r w:rsidR="00E93249" w:rsidRPr="00782D7B">
        <w:rPr>
          <w:rFonts w:ascii="Arial" w:hAnsi="Arial" w:cs="Arial"/>
          <w:sz w:val="24"/>
          <w:szCs w:val="24"/>
        </w:rPr>
        <w:t xml:space="preserve"> in regards to presynaptic autoreceptors. </w:t>
      </w:r>
      <w:r w:rsidR="00F0786C" w:rsidRPr="00F0786C">
        <w:rPr>
          <w:rFonts w:ascii="Arial" w:hAnsi="Arial" w:cs="Arial"/>
          <w:sz w:val="24"/>
          <w:szCs w:val="24"/>
        </w:rPr>
        <w:t>Schramm and Dudel (1997) reported that some</w:t>
      </w:r>
      <w:r w:rsidR="00F0786C">
        <w:rPr>
          <w:rFonts w:ascii="Arial" w:hAnsi="Arial" w:cs="Arial"/>
          <w:sz w:val="24"/>
          <w:szCs w:val="24"/>
        </w:rPr>
        <w:t xml:space="preserve"> </w:t>
      </w:r>
      <w:r w:rsidR="00F0786C" w:rsidRPr="00F0786C">
        <w:rPr>
          <w:rFonts w:ascii="Arial" w:hAnsi="Arial" w:cs="Arial"/>
          <w:sz w:val="24"/>
          <w:szCs w:val="24"/>
        </w:rPr>
        <w:t>preparations showed</w:t>
      </w:r>
      <w:r w:rsidR="00F0786C">
        <w:rPr>
          <w:rFonts w:ascii="Arial" w:hAnsi="Arial" w:cs="Arial"/>
          <w:sz w:val="24"/>
          <w:szCs w:val="24"/>
        </w:rPr>
        <w:t xml:space="preserve"> that</w:t>
      </w:r>
      <w:r w:rsidR="00E93249" w:rsidRPr="00782D7B">
        <w:rPr>
          <w:rFonts w:ascii="Arial" w:hAnsi="Arial" w:cs="Arial"/>
          <w:sz w:val="24"/>
          <w:szCs w:val="24"/>
        </w:rPr>
        <w:t xml:space="preserve"> t-ACPD and glutamate its</w:t>
      </w:r>
      <w:r w:rsidR="00F0786C">
        <w:rPr>
          <w:rFonts w:ascii="Arial" w:hAnsi="Arial" w:cs="Arial"/>
          <w:sz w:val="24"/>
          <w:szCs w:val="24"/>
        </w:rPr>
        <w:t>elf produced varied responses of</w:t>
      </w:r>
      <w:r w:rsidR="00E93249" w:rsidRPr="00782D7B">
        <w:rPr>
          <w:rFonts w:ascii="Arial" w:hAnsi="Arial" w:cs="Arial"/>
          <w:sz w:val="24"/>
          <w:szCs w:val="24"/>
        </w:rPr>
        <w:t xml:space="preserve"> mean quantal content. Some preparations </w:t>
      </w:r>
      <w:r w:rsidR="00C039CA" w:rsidRPr="00782D7B">
        <w:rPr>
          <w:rFonts w:ascii="Arial" w:hAnsi="Arial" w:cs="Arial"/>
          <w:sz w:val="24"/>
          <w:szCs w:val="24"/>
        </w:rPr>
        <w:t xml:space="preserve">they reported </w:t>
      </w:r>
      <w:r w:rsidR="00E93249" w:rsidRPr="00782D7B">
        <w:rPr>
          <w:rFonts w:ascii="Arial" w:hAnsi="Arial" w:cs="Arial"/>
          <w:sz w:val="24"/>
          <w:szCs w:val="24"/>
        </w:rPr>
        <w:t>showed an enhancement while others a decrease</w:t>
      </w:r>
      <w:r w:rsidR="00C039CA" w:rsidRPr="00782D7B">
        <w:rPr>
          <w:rFonts w:ascii="Arial" w:hAnsi="Arial" w:cs="Arial"/>
          <w:sz w:val="24"/>
          <w:szCs w:val="24"/>
        </w:rPr>
        <w:t xml:space="preserve"> in evoked postsynaptic events</w:t>
      </w:r>
      <w:r w:rsidR="00E93249" w:rsidRPr="00782D7B">
        <w:rPr>
          <w:rFonts w:ascii="Arial" w:hAnsi="Arial" w:cs="Arial"/>
          <w:sz w:val="24"/>
          <w:szCs w:val="24"/>
        </w:rPr>
        <w:t xml:space="preserve">. </w:t>
      </w:r>
      <w:r w:rsidR="00F0786C" w:rsidRPr="00F0786C">
        <w:rPr>
          <w:rFonts w:ascii="Arial" w:hAnsi="Arial" w:cs="Arial"/>
          <w:sz w:val="24"/>
          <w:szCs w:val="24"/>
        </w:rPr>
        <w:t xml:space="preserve">Schramm and Dudel (1997) </w:t>
      </w:r>
      <w:r w:rsidR="00E93249" w:rsidRPr="00782D7B">
        <w:rPr>
          <w:rFonts w:ascii="Arial" w:hAnsi="Arial" w:cs="Arial"/>
          <w:sz w:val="24"/>
          <w:szCs w:val="24"/>
        </w:rPr>
        <w:t>concluded that there may be differential regulation in the type and density of the metabotropic presynaptic autoreceptors</w:t>
      </w:r>
      <w:r w:rsidR="001E5C42" w:rsidRPr="00782D7B">
        <w:rPr>
          <w:rFonts w:ascii="Arial" w:hAnsi="Arial" w:cs="Arial"/>
          <w:sz w:val="24"/>
          <w:szCs w:val="24"/>
        </w:rPr>
        <w:t xml:space="preserve"> to account for variation among preparations and effects to t-ACPD and glutamate</w:t>
      </w:r>
      <w:r w:rsidR="00E93249" w:rsidRPr="00782D7B">
        <w:rPr>
          <w:rFonts w:ascii="Arial" w:hAnsi="Arial" w:cs="Arial"/>
          <w:sz w:val="24"/>
          <w:szCs w:val="24"/>
        </w:rPr>
        <w:t>. There are methodological differences in stimulating the nerve terminals</w:t>
      </w:r>
      <w:r w:rsidR="00462CA6" w:rsidRPr="00782D7B">
        <w:rPr>
          <w:rFonts w:ascii="Arial" w:hAnsi="Arial" w:cs="Arial"/>
          <w:sz w:val="24"/>
          <w:szCs w:val="24"/>
        </w:rPr>
        <w:t>.</w:t>
      </w:r>
      <w:r w:rsidR="00FE2E5A" w:rsidRPr="00782D7B">
        <w:rPr>
          <w:rFonts w:ascii="Arial" w:hAnsi="Arial" w:cs="Arial"/>
          <w:sz w:val="24"/>
          <w:szCs w:val="24"/>
        </w:rPr>
        <w:t xml:space="preserve"> </w:t>
      </w:r>
      <w:r w:rsidR="00E93249" w:rsidRPr="00782D7B">
        <w:rPr>
          <w:rFonts w:ascii="Arial" w:hAnsi="Arial" w:cs="Arial"/>
          <w:sz w:val="24"/>
          <w:szCs w:val="24"/>
        </w:rPr>
        <w:t>In our studies</w:t>
      </w:r>
      <w:r w:rsidR="00C039CA" w:rsidRPr="00782D7B">
        <w:rPr>
          <w:rFonts w:ascii="Arial" w:hAnsi="Arial" w:cs="Arial"/>
          <w:sz w:val="24"/>
          <w:szCs w:val="24"/>
        </w:rPr>
        <w:t>,</w:t>
      </w:r>
      <w:r w:rsidR="00E93249" w:rsidRPr="00782D7B">
        <w:rPr>
          <w:rFonts w:ascii="Arial" w:hAnsi="Arial" w:cs="Arial"/>
          <w:sz w:val="24"/>
          <w:szCs w:val="24"/>
        </w:rPr>
        <w:t xml:space="preserve"> we elicited action potentials within the nerve to result in Ca</w:t>
      </w:r>
      <w:r w:rsidR="00E93249" w:rsidRPr="00782D7B">
        <w:rPr>
          <w:rFonts w:ascii="Arial" w:hAnsi="Arial" w:cs="Arial"/>
          <w:sz w:val="24"/>
          <w:szCs w:val="24"/>
          <w:vertAlign w:val="superscript"/>
        </w:rPr>
        <w:t>2+</w:t>
      </w:r>
      <w:r w:rsidR="00E93249" w:rsidRPr="00782D7B">
        <w:rPr>
          <w:rFonts w:ascii="Arial" w:hAnsi="Arial" w:cs="Arial"/>
          <w:sz w:val="24"/>
          <w:szCs w:val="24"/>
        </w:rPr>
        <w:t xml:space="preserve"> influx and vesicular fusion. However</w:t>
      </w:r>
      <w:r w:rsidR="00FE2E5A" w:rsidRPr="00782D7B">
        <w:rPr>
          <w:rFonts w:ascii="Arial" w:hAnsi="Arial" w:cs="Arial"/>
          <w:sz w:val="24"/>
          <w:szCs w:val="24"/>
        </w:rPr>
        <w:t>,</w:t>
      </w:r>
      <w:r w:rsidR="00E93249" w:rsidRPr="00782D7B">
        <w:rPr>
          <w:rFonts w:ascii="Arial" w:hAnsi="Arial" w:cs="Arial"/>
          <w:sz w:val="24"/>
          <w:szCs w:val="24"/>
        </w:rPr>
        <w:t xml:space="preserve"> </w:t>
      </w:r>
      <w:r w:rsidR="00462CA6" w:rsidRPr="00782D7B">
        <w:rPr>
          <w:rFonts w:ascii="Arial" w:hAnsi="Arial" w:cs="Arial"/>
          <w:sz w:val="24"/>
          <w:szCs w:val="24"/>
        </w:rPr>
        <w:t xml:space="preserve">Schramm and Dudel </w:t>
      </w:r>
      <w:r w:rsidR="00F0786C">
        <w:rPr>
          <w:rFonts w:ascii="ArialMT" w:hAnsi="ArialMT" w:cs="ArialMT"/>
          <w:sz w:val="24"/>
        </w:rPr>
        <w:t xml:space="preserve">(1997) </w:t>
      </w:r>
      <w:r w:rsidR="00462CA6" w:rsidRPr="00782D7B">
        <w:rPr>
          <w:rFonts w:ascii="Arial" w:hAnsi="Arial" w:cs="Arial"/>
          <w:sz w:val="24"/>
          <w:szCs w:val="24"/>
        </w:rPr>
        <w:t xml:space="preserve">used </w:t>
      </w:r>
      <w:r w:rsidR="00E93249" w:rsidRPr="00782D7B">
        <w:rPr>
          <w:rFonts w:ascii="Arial" w:hAnsi="Arial" w:cs="Arial"/>
          <w:sz w:val="24"/>
          <w:szCs w:val="24"/>
        </w:rPr>
        <w:t xml:space="preserve">depolarization pulses delivered </w:t>
      </w:r>
      <w:r w:rsidR="00FE2E5A" w:rsidRPr="00782D7B">
        <w:rPr>
          <w:rFonts w:ascii="Arial" w:hAnsi="Arial" w:cs="Arial"/>
          <w:sz w:val="24"/>
          <w:szCs w:val="24"/>
        </w:rPr>
        <w:t>over</w:t>
      </w:r>
      <w:r w:rsidR="00E93249" w:rsidRPr="00782D7B">
        <w:rPr>
          <w:rFonts w:ascii="Arial" w:hAnsi="Arial" w:cs="Arial"/>
          <w:sz w:val="24"/>
          <w:szCs w:val="24"/>
        </w:rPr>
        <w:t xml:space="preserve"> the terminal</w:t>
      </w:r>
      <w:r w:rsidR="00FE2E5A" w:rsidRPr="00782D7B">
        <w:rPr>
          <w:rFonts w:ascii="Arial" w:hAnsi="Arial" w:cs="Arial"/>
          <w:sz w:val="24"/>
          <w:szCs w:val="24"/>
        </w:rPr>
        <w:t>,</w:t>
      </w:r>
      <w:r w:rsidR="00E93249" w:rsidRPr="00782D7B">
        <w:rPr>
          <w:rFonts w:ascii="Arial" w:hAnsi="Arial" w:cs="Arial"/>
          <w:sz w:val="24"/>
          <w:szCs w:val="24"/>
        </w:rPr>
        <w:t xml:space="preserve"> through the focal electrode</w:t>
      </w:r>
      <w:r w:rsidR="00FE2E5A" w:rsidRPr="00782D7B">
        <w:rPr>
          <w:rFonts w:ascii="Arial" w:hAnsi="Arial" w:cs="Arial"/>
          <w:sz w:val="24"/>
          <w:szCs w:val="24"/>
        </w:rPr>
        <w:t>,</w:t>
      </w:r>
      <w:r w:rsidR="00E93249" w:rsidRPr="00782D7B">
        <w:rPr>
          <w:rFonts w:ascii="Arial" w:hAnsi="Arial" w:cs="Arial"/>
          <w:sz w:val="24"/>
          <w:szCs w:val="24"/>
        </w:rPr>
        <w:t xml:space="preserve"> to directly open voltage-gated channels</w:t>
      </w:r>
      <w:r w:rsidR="00462CA6" w:rsidRPr="00782D7B">
        <w:rPr>
          <w:rFonts w:ascii="Arial" w:hAnsi="Arial" w:cs="Arial"/>
          <w:sz w:val="24"/>
          <w:szCs w:val="24"/>
        </w:rPr>
        <w:t>.</w:t>
      </w:r>
      <w:r w:rsidR="00E93249" w:rsidRPr="00782D7B">
        <w:rPr>
          <w:rFonts w:ascii="Arial" w:hAnsi="Arial" w:cs="Arial"/>
          <w:sz w:val="24"/>
          <w:szCs w:val="24"/>
        </w:rPr>
        <w:t xml:space="preserve"> </w:t>
      </w:r>
      <w:r w:rsidR="00462CA6" w:rsidRPr="00782D7B">
        <w:rPr>
          <w:rFonts w:ascii="Arial" w:hAnsi="Arial" w:cs="Arial"/>
          <w:sz w:val="24"/>
          <w:szCs w:val="24"/>
        </w:rPr>
        <w:t>S</w:t>
      </w:r>
      <w:r w:rsidR="00E93249" w:rsidRPr="00782D7B">
        <w:rPr>
          <w:rFonts w:ascii="Arial" w:hAnsi="Arial" w:cs="Arial"/>
          <w:sz w:val="24"/>
          <w:szCs w:val="24"/>
        </w:rPr>
        <w:t>eal stability</w:t>
      </w:r>
      <w:r w:rsidR="00FE2E5A" w:rsidRPr="00782D7B">
        <w:rPr>
          <w:rFonts w:ascii="Arial" w:hAnsi="Arial" w:cs="Arial"/>
          <w:sz w:val="24"/>
          <w:szCs w:val="24"/>
        </w:rPr>
        <w:t xml:space="preserve"> with the focal electrode over the NMJ</w:t>
      </w:r>
      <w:r w:rsidR="00E93249" w:rsidRPr="00782D7B">
        <w:rPr>
          <w:rFonts w:ascii="Arial" w:hAnsi="Arial" w:cs="Arial"/>
          <w:sz w:val="24"/>
          <w:szCs w:val="24"/>
        </w:rPr>
        <w:t xml:space="preserve">, longer than normal action potential depolarization </w:t>
      </w:r>
      <w:r w:rsidR="00FE2E5A" w:rsidRPr="00782D7B">
        <w:rPr>
          <w:rFonts w:ascii="Arial" w:hAnsi="Arial" w:cs="Arial"/>
          <w:sz w:val="24"/>
          <w:szCs w:val="24"/>
        </w:rPr>
        <w:t xml:space="preserve">pulses </w:t>
      </w:r>
      <w:r w:rsidR="00E93249" w:rsidRPr="00782D7B">
        <w:rPr>
          <w:rFonts w:ascii="Arial" w:hAnsi="Arial" w:cs="Arial"/>
          <w:sz w:val="24"/>
          <w:szCs w:val="24"/>
        </w:rPr>
        <w:t xml:space="preserve">and tweaking the current pulses to a fine degree in order to balance a percentage of activating voltage dependent ion channels, </w:t>
      </w:r>
      <w:r w:rsidR="00C039CA" w:rsidRPr="00782D7B">
        <w:rPr>
          <w:rFonts w:ascii="Arial" w:hAnsi="Arial" w:cs="Arial"/>
          <w:sz w:val="24"/>
          <w:szCs w:val="24"/>
        </w:rPr>
        <w:t xml:space="preserve">would </w:t>
      </w:r>
      <w:r w:rsidR="00E93249" w:rsidRPr="00782D7B">
        <w:rPr>
          <w:rFonts w:ascii="Arial" w:hAnsi="Arial" w:cs="Arial"/>
          <w:sz w:val="24"/>
          <w:szCs w:val="24"/>
        </w:rPr>
        <w:t>appear to induce</w:t>
      </w:r>
      <w:r w:rsidR="00FE2E5A" w:rsidRPr="00782D7B">
        <w:rPr>
          <w:rFonts w:ascii="Arial" w:hAnsi="Arial" w:cs="Arial"/>
          <w:sz w:val="24"/>
          <w:szCs w:val="24"/>
        </w:rPr>
        <w:t xml:space="preserve"> potential</w:t>
      </w:r>
      <w:r w:rsidR="00C039CA" w:rsidRPr="00782D7B">
        <w:rPr>
          <w:rFonts w:ascii="Arial" w:hAnsi="Arial" w:cs="Arial"/>
          <w:sz w:val="24"/>
          <w:szCs w:val="24"/>
        </w:rPr>
        <w:t>ly</w:t>
      </w:r>
      <w:r w:rsidR="00E93249" w:rsidRPr="00782D7B">
        <w:rPr>
          <w:rFonts w:ascii="Arial" w:hAnsi="Arial" w:cs="Arial"/>
          <w:sz w:val="24"/>
          <w:szCs w:val="24"/>
        </w:rPr>
        <w:t xml:space="preserve"> more experimental variability </w:t>
      </w:r>
      <w:r w:rsidR="00FE2E5A" w:rsidRPr="00782D7B">
        <w:rPr>
          <w:rFonts w:ascii="Arial" w:hAnsi="Arial" w:cs="Arial"/>
          <w:sz w:val="24"/>
          <w:szCs w:val="24"/>
        </w:rPr>
        <w:t>among</w:t>
      </w:r>
      <w:r w:rsidR="00E93249" w:rsidRPr="00782D7B">
        <w:rPr>
          <w:rFonts w:ascii="Arial" w:hAnsi="Arial" w:cs="Arial"/>
          <w:sz w:val="24"/>
          <w:szCs w:val="24"/>
        </w:rPr>
        <w:t xml:space="preserve"> preparation</w:t>
      </w:r>
      <w:r w:rsidR="00FE2E5A" w:rsidRPr="00782D7B">
        <w:rPr>
          <w:rFonts w:ascii="Arial" w:hAnsi="Arial" w:cs="Arial"/>
          <w:sz w:val="24"/>
          <w:szCs w:val="24"/>
        </w:rPr>
        <w:t>s</w:t>
      </w:r>
      <w:r w:rsidR="00E93249" w:rsidRPr="00782D7B">
        <w:rPr>
          <w:rFonts w:ascii="Arial" w:hAnsi="Arial" w:cs="Arial"/>
          <w:sz w:val="24"/>
          <w:szCs w:val="24"/>
        </w:rPr>
        <w:t xml:space="preserve"> than inducing a standard action potential within the nerve</w:t>
      </w:r>
      <w:r w:rsidR="00FE2E5A" w:rsidRPr="00782D7B">
        <w:rPr>
          <w:rFonts w:ascii="Arial" w:hAnsi="Arial" w:cs="Arial"/>
          <w:sz w:val="24"/>
          <w:szCs w:val="24"/>
        </w:rPr>
        <w:t xml:space="preserve"> for evoking synaptic transmission. </w:t>
      </w:r>
      <w:r w:rsidR="00CD4E1A" w:rsidRPr="00782D7B">
        <w:rPr>
          <w:rFonts w:ascii="Arial" w:hAnsi="Arial" w:cs="Arial"/>
          <w:sz w:val="24"/>
          <w:szCs w:val="24"/>
        </w:rPr>
        <w:t xml:space="preserve">The large field effect of a current pulse, to induce presynaptic depolarization, through a macropatch electrode could have an effect on the </w:t>
      </w:r>
      <w:r w:rsidR="00182BED" w:rsidRPr="00782D7B">
        <w:rPr>
          <w:rFonts w:ascii="Arial" w:hAnsi="Arial" w:cs="Arial"/>
          <w:sz w:val="24"/>
          <w:szCs w:val="24"/>
        </w:rPr>
        <w:t>postsynaptic</w:t>
      </w:r>
      <w:r w:rsidR="00CD4E1A" w:rsidRPr="00782D7B">
        <w:rPr>
          <w:rFonts w:ascii="Arial" w:hAnsi="Arial" w:cs="Arial"/>
          <w:sz w:val="24"/>
          <w:szCs w:val="24"/>
        </w:rPr>
        <w:t xml:space="preserve"> glutamate receptors such that the receptor interaction with pharmacological agents of even glutamate itself might be altered. To </w:t>
      </w:r>
      <w:r w:rsidR="00CD4E1A" w:rsidRPr="00782D7B">
        <w:rPr>
          <w:rFonts w:ascii="Arial" w:hAnsi="Arial" w:cs="Arial"/>
          <w:sz w:val="24"/>
          <w:szCs w:val="24"/>
        </w:rPr>
        <w:lastRenderedPageBreak/>
        <w:t xml:space="preserve">resolve </w:t>
      </w:r>
      <w:r w:rsidR="00757C88" w:rsidRPr="00782D7B">
        <w:rPr>
          <w:rFonts w:ascii="Arial" w:hAnsi="Arial" w:cs="Arial"/>
          <w:sz w:val="24"/>
          <w:szCs w:val="24"/>
        </w:rPr>
        <w:t>these issues</w:t>
      </w:r>
      <w:r w:rsidR="00CD4E1A" w:rsidRPr="00782D7B">
        <w:rPr>
          <w:rFonts w:ascii="Arial" w:hAnsi="Arial" w:cs="Arial"/>
          <w:sz w:val="24"/>
          <w:szCs w:val="24"/>
        </w:rPr>
        <w:t xml:space="preserve"> in the crayfish would require selectively stimulating the motor nerve and repeating the study.</w:t>
      </w:r>
    </w:p>
    <w:p w:rsidR="001A406E" w:rsidRPr="00782D7B" w:rsidRDefault="00FE2E5A" w:rsidP="008D0260">
      <w:pPr>
        <w:tabs>
          <w:tab w:val="left" w:pos="-1440"/>
        </w:tabs>
        <w:spacing w:line="480" w:lineRule="auto"/>
        <w:jc w:val="both"/>
        <w:rPr>
          <w:rFonts w:ascii="Arial" w:eastAsia="Times New Roman" w:hAnsi="Arial" w:cs="Arial"/>
          <w:sz w:val="24"/>
          <w:szCs w:val="24"/>
        </w:rPr>
      </w:pPr>
      <w:r w:rsidRPr="00782D7B">
        <w:rPr>
          <w:rFonts w:ascii="Arial" w:hAnsi="Arial" w:cs="Arial"/>
          <w:sz w:val="24"/>
          <w:szCs w:val="24"/>
        </w:rPr>
        <w:t xml:space="preserve"> </w:t>
      </w:r>
      <w:r w:rsidR="00C039CA" w:rsidRPr="00782D7B">
        <w:rPr>
          <w:rFonts w:ascii="Arial" w:hAnsi="Arial" w:cs="Arial"/>
          <w:sz w:val="24"/>
          <w:szCs w:val="24"/>
        </w:rPr>
        <w:tab/>
      </w:r>
      <w:r w:rsidR="008E0384" w:rsidRPr="00782D7B">
        <w:rPr>
          <w:rFonts w:ascii="Arial" w:hAnsi="Arial" w:cs="Arial"/>
          <w:sz w:val="24"/>
          <w:szCs w:val="24"/>
        </w:rPr>
        <w:t>As for domoic acid, the results suggest kainate is an antagonist to the postsynaptic glutamate receptors in a dose-dependent manner</w:t>
      </w:r>
      <w:r w:rsidR="008D0260" w:rsidRPr="008D0260">
        <w:rPr>
          <w:rFonts w:ascii="Arial" w:hAnsi="Arial" w:cs="Arial"/>
          <w:sz w:val="24"/>
          <w:szCs w:val="24"/>
        </w:rPr>
        <w:t>, but not ATPA</w:t>
      </w:r>
      <w:r w:rsidR="008E0384" w:rsidRPr="00782D7B">
        <w:rPr>
          <w:rFonts w:ascii="Arial" w:hAnsi="Arial" w:cs="Arial"/>
          <w:sz w:val="24"/>
          <w:szCs w:val="24"/>
        </w:rPr>
        <w:t>. In addition, since ATPA did not produce any significant alteration in the evoked EPSP amplitude, there does not appear to be a</w:t>
      </w:r>
      <w:r w:rsidR="00C039CA" w:rsidRPr="00782D7B">
        <w:rPr>
          <w:rFonts w:ascii="Arial" w:hAnsi="Arial" w:cs="Arial"/>
          <w:sz w:val="24"/>
          <w:szCs w:val="24"/>
        </w:rPr>
        <w:t>ny</w:t>
      </w:r>
      <w:r w:rsidR="008E0384" w:rsidRPr="00782D7B">
        <w:rPr>
          <w:rFonts w:ascii="Arial" w:hAnsi="Arial" w:cs="Arial"/>
          <w:sz w:val="24"/>
          <w:szCs w:val="24"/>
        </w:rPr>
        <w:t xml:space="preserve"> pre</w:t>
      </w:r>
      <w:r w:rsidR="00C039CA" w:rsidRPr="00782D7B">
        <w:rPr>
          <w:rFonts w:ascii="Arial" w:hAnsi="Arial" w:cs="Arial"/>
          <w:sz w:val="24"/>
          <w:szCs w:val="24"/>
        </w:rPr>
        <w:t>- or post-</w:t>
      </w:r>
      <w:r w:rsidR="008E0384" w:rsidRPr="00782D7B">
        <w:rPr>
          <w:rFonts w:ascii="Arial" w:hAnsi="Arial" w:cs="Arial"/>
          <w:sz w:val="24"/>
          <w:szCs w:val="24"/>
        </w:rPr>
        <w:t xml:space="preserve">synaptic action </w:t>
      </w:r>
      <w:r w:rsidR="00C039CA" w:rsidRPr="00782D7B">
        <w:rPr>
          <w:rFonts w:ascii="Arial" w:hAnsi="Arial" w:cs="Arial"/>
          <w:sz w:val="24"/>
          <w:szCs w:val="24"/>
        </w:rPr>
        <w:t>of</w:t>
      </w:r>
      <w:r w:rsidR="008E0384" w:rsidRPr="00782D7B">
        <w:rPr>
          <w:rFonts w:ascii="Arial" w:hAnsi="Arial" w:cs="Arial"/>
          <w:sz w:val="24"/>
          <w:szCs w:val="24"/>
        </w:rPr>
        <w:t xml:space="preserve"> ATPA.</w:t>
      </w:r>
      <w:r w:rsidR="001A406E" w:rsidRPr="00782D7B">
        <w:rPr>
          <w:rFonts w:ascii="Arial" w:hAnsi="Arial" w:cs="Arial"/>
          <w:sz w:val="24"/>
          <w:szCs w:val="24"/>
        </w:rPr>
        <w:t xml:space="preserve"> </w:t>
      </w:r>
      <w:r w:rsidR="001A406E" w:rsidRPr="00782D7B">
        <w:rPr>
          <w:rFonts w:ascii="Arial" w:eastAsia="Times New Roman" w:hAnsi="Arial" w:cs="Arial"/>
          <w:sz w:val="24"/>
          <w:szCs w:val="24"/>
        </w:rPr>
        <w:t>Quisqualate has been suggested to activate ionotropic as well as metabotropic glutamate receptors just as glutamate does itself, which suggests quisqualate is a non-selective glutamate receptor agonist (Schoepp et al., 1990). However, AMPA</w:t>
      </w:r>
      <w:r w:rsidR="00AA75F5" w:rsidRPr="00782D7B">
        <w:rPr>
          <w:rFonts w:ascii="Arial" w:eastAsia="Times New Roman" w:hAnsi="Arial" w:cs="Arial"/>
          <w:sz w:val="24"/>
          <w:szCs w:val="24"/>
        </w:rPr>
        <w:t>,</w:t>
      </w:r>
      <w:r w:rsidR="001A406E" w:rsidRPr="00782D7B">
        <w:rPr>
          <w:rFonts w:ascii="Arial" w:eastAsia="Times New Roman" w:hAnsi="Arial" w:cs="Arial"/>
          <w:sz w:val="24"/>
          <w:szCs w:val="24"/>
        </w:rPr>
        <w:t xml:space="preserve"> which is significantly similar to quisqualate in structure and is a weak kainate receptor </w:t>
      </w:r>
      <w:r w:rsidR="00182BED" w:rsidRPr="00782D7B">
        <w:rPr>
          <w:rFonts w:ascii="Arial" w:eastAsia="Times New Roman" w:hAnsi="Arial" w:cs="Arial"/>
          <w:sz w:val="24"/>
          <w:szCs w:val="24"/>
        </w:rPr>
        <w:t>agonist</w:t>
      </w:r>
      <w:r w:rsidR="00AA75F5" w:rsidRPr="00782D7B">
        <w:rPr>
          <w:rFonts w:ascii="Arial" w:eastAsia="Times New Roman" w:hAnsi="Arial" w:cs="Arial"/>
          <w:sz w:val="24"/>
          <w:szCs w:val="24"/>
        </w:rPr>
        <w:t xml:space="preserve">, </w:t>
      </w:r>
      <w:r w:rsidR="001A406E" w:rsidRPr="00782D7B">
        <w:rPr>
          <w:rFonts w:ascii="Arial" w:eastAsia="Times New Roman" w:hAnsi="Arial" w:cs="Arial"/>
          <w:sz w:val="24"/>
          <w:szCs w:val="24"/>
        </w:rPr>
        <w:t xml:space="preserve">cannot activate nor even bind to homomeric GluR6 kainate receptor (Egebjerg et al., 1991). Such differences may be induced by steric </w:t>
      </w:r>
      <w:r w:rsidR="001E4853" w:rsidRPr="00782D7B">
        <w:rPr>
          <w:rFonts w:ascii="Arial" w:eastAsia="Times New Roman" w:hAnsi="Arial" w:cs="Arial"/>
          <w:sz w:val="24"/>
          <w:szCs w:val="24"/>
        </w:rPr>
        <w:t>hindrance</w:t>
      </w:r>
      <w:r w:rsidR="001A406E" w:rsidRPr="00782D7B">
        <w:rPr>
          <w:rFonts w:ascii="Arial" w:eastAsia="Times New Roman" w:hAnsi="Arial" w:cs="Arial"/>
          <w:sz w:val="24"/>
          <w:szCs w:val="24"/>
        </w:rPr>
        <w:t xml:space="preserve"> near the ligand binding domain. In fact, AMPA did not change the EPSP amplitude in our studies, but kainate resulted in reduced amplitude by acting as an antagonist. Therefore, there seems to be other factors besides steric </w:t>
      </w:r>
      <w:r w:rsidR="001E4853" w:rsidRPr="00782D7B">
        <w:rPr>
          <w:rFonts w:ascii="Arial" w:eastAsia="Times New Roman" w:hAnsi="Arial" w:cs="Arial"/>
          <w:sz w:val="24"/>
          <w:szCs w:val="24"/>
        </w:rPr>
        <w:t>hindrance</w:t>
      </w:r>
      <w:r w:rsidR="001A406E" w:rsidRPr="00782D7B">
        <w:rPr>
          <w:rFonts w:ascii="Arial" w:eastAsia="Times New Roman" w:hAnsi="Arial" w:cs="Arial"/>
          <w:sz w:val="24"/>
          <w:szCs w:val="24"/>
        </w:rPr>
        <w:t xml:space="preserve">. It would seem </w:t>
      </w:r>
      <w:r w:rsidR="001E4853" w:rsidRPr="00782D7B">
        <w:rPr>
          <w:rFonts w:ascii="Arial" w:eastAsia="Times New Roman" w:hAnsi="Arial" w:cs="Arial"/>
          <w:sz w:val="24"/>
          <w:szCs w:val="24"/>
        </w:rPr>
        <w:t>likely</w:t>
      </w:r>
      <w:r w:rsidR="001A406E" w:rsidRPr="00782D7B">
        <w:rPr>
          <w:rFonts w:ascii="Arial" w:eastAsia="Times New Roman" w:hAnsi="Arial" w:cs="Arial"/>
          <w:sz w:val="24"/>
          <w:szCs w:val="24"/>
        </w:rPr>
        <w:t xml:space="preserve"> that a ligand binding site of kainate at </w:t>
      </w:r>
      <w:r w:rsidR="001A406E" w:rsidRPr="0084686F">
        <w:rPr>
          <w:rFonts w:ascii="Arial" w:eastAsia="Times New Roman" w:hAnsi="Arial" w:cs="Arial"/>
          <w:sz w:val="24"/>
          <w:szCs w:val="24"/>
        </w:rPr>
        <w:t xml:space="preserve">the </w:t>
      </w:r>
      <w:r w:rsidR="001A406E" w:rsidRPr="0084686F">
        <w:rPr>
          <w:rFonts w:ascii="Arial" w:eastAsia="Times New Roman" w:hAnsi="Arial" w:cs="Arial"/>
          <w:i/>
          <w:sz w:val="24"/>
          <w:szCs w:val="24"/>
        </w:rPr>
        <w:t>Drosophila</w:t>
      </w:r>
      <w:r w:rsidR="001A406E" w:rsidRPr="0084686F">
        <w:rPr>
          <w:rFonts w:ascii="Arial" w:eastAsia="Times New Roman" w:hAnsi="Arial" w:cs="Arial"/>
          <w:sz w:val="24"/>
          <w:szCs w:val="24"/>
        </w:rPr>
        <w:t xml:space="preserve"> NMJ would be highly conserved to the vertebrate kainate receptor, since kainate </w:t>
      </w:r>
      <w:r w:rsidR="008D0260" w:rsidRPr="0084686F">
        <w:rPr>
          <w:rFonts w:ascii="Arial" w:eastAsia="Times New Roman" w:hAnsi="Arial" w:cs="Arial"/>
          <w:sz w:val="24"/>
          <w:szCs w:val="24"/>
        </w:rPr>
        <w:t>can</w:t>
      </w:r>
      <w:r w:rsidR="001A406E" w:rsidRPr="0084686F">
        <w:rPr>
          <w:rFonts w:ascii="Arial" w:eastAsia="Times New Roman" w:hAnsi="Arial" w:cs="Arial"/>
          <w:sz w:val="24"/>
          <w:szCs w:val="24"/>
        </w:rPr>
        <w:t xml:space="preserve"> block evoked responses</w:t>
      </w:r>
      <w:r w:rsidR="00AA75F5" w:rsidRPr="0084686F">
        <w:rPr>
          <w:rFonts w:ascii="Arial" w:eastAsia="Times New Roman" w:hAnsi="Arial" w:cs="Arial"/>
          <w:sz w:val="24"/>
          <w:szCs w:val="24"/>
        </w:rPr>
        <w:t>;</w:t>
      </w:r>
      <w:r w:rsidR="00CD4E1A" w:rsidRPr="0084686F">
        <w:rPr>
          <w:rFonts w:ascii="Arial" w:eastAsia="Times New Roman" w:hAnsi="Arial" w:cs="Arial"/>
          <w:sz w:val="24"/>
          <w:szCs w:val="24"/>
        </w:rPr>
        <w:t xml:space="preserve"> </w:t>
      </w:r>
      <w:r w:rsidR="001A406E" w:rsidRPr="0084686F">
        <w:rPr>
          <w:rFonts w:ascii="Arial" w:eastAsia="Times New Roman" w:hAnsi="Arial" w:cs="Arial"/>
          <w:sz w:val="24"/>
          <w:szCs w:val="24"/>
        </w:rPr>
        <w:t>however</w:t>
      </w:r>
      <w:r w:rsidR="00AA75F5" w:rsidRPr="0084686F">
        <w:rPr>
          <w:rFonts w:ascii="Arial" w:eastAsia="Times New Roman" w:hAnsi="Arial" w:cs="Arial"/>
          <w:sz w:val="24"/>
          <w:szCs w:val="24"/>
        </w:rPr>
        <w:t>,</w:t>
      </w:r>
      <w:r w:rsidR="001A406E" w:rsidRPr="0084686F">
        <w:rPr>
          <w:rFonts w:ascii="Arial" w:eastAsia="Times New Roman" w:hAnsi="Arial" w:cs="Arial"/>
          <w:sz w:val="24"/>
          <w:szCs w:val="24"/>
        </w:rPr>
        <w:t xml:space="preserve"> the similarity of extracellular domains </w:t>
      </w:r>
      <w:r w:rsidR="008D0260" w:rsidRPr="0084686F">
        <w:rPr>
          <w:rFonts w:ascii="Arial" w:eastAsia="Times New Roman" w:hAnsi="Arial" w:cs="Arial"/>
          <w:sz w:val="24"/>
          <w:szCs w:val="24"/>
        </w:rPr>
        <w:t>is</w:t>
      </w:r>
      <w:r w:rsidR="001A406E" w:rsidRPr="0084686F">
        <w:rPr>
          <w:rFonts w:ascii="Arial" w:eastAsia="Times New Roman" w:hAnsi="Arial" w:cs="Arial"/>
          <w:sz w:val="24"/>
          <w:szCs w:val="24"/>
        </w:rPr>
        <w:t xml:space="preserve"> not very high. </w:t>
      </w:r>
      <w:r w:rsidR="0084686F" w:rsidRPr="0084686F">
        <w:rPr>
          <w:rFonts w:ascii="Arial" w:eastAsia="Times New Roman" w:hAnsi="Arial" w:cs="Arial"/>
          <w:sz w:val="24"/>
          <w:szCs w:val="24"/>
        </w:rPr>
        <w:t xml:space="preserve">One would not have expected from the results with AMPA and domoic acid that </w:t>
      </w:r>
      <w:r w:rsidR="0084686F" w:rsidRPr="0084686F">
        <w:rPr>
          <w:rFonts w:ascii="Arial" w:hAnsi="Arial" w:cs="Arial"/>
          <w:bCs/>
          <w:kern w:val="36"/>
          <w:sz w:val="24"/>
          <w:szCs w:val="24"/>
        </w:rPr>
        <w:t>the p</w:t>
      </w:r>
      <w:r w:rsidR="0084686F" w:rsidRPr="0084686F">
        <w:rPr>
          <w:rFonts w:ascii="Arial" w:hAnsi="Arial" w:cs="Arial"/>
          <w:sz w:val="24"/>
          <w:szCs w:val="24"/>
        </w:rPr>
        <w:t xml:space="preserve">otent and highly selective kainate receptor agonist SYM 2081 </w:t>
      </w:r>
      <w:r w:rsidR="000D0A2C">
        <w:rPr>
          <w:rFonts w:ascii="Arial" w:hAnsi="Arial" w:cs="Arial"/>
          <w:sz w:val="24"/>
          <w:szCs w:val="24"/>
        </w:rPr>
        <w:t xml:space="preserve">to </w:t>
      </w:r>
      <w:r w:rsidR="0084686F" w:rsidRPr="0084686F">
        <w:rPr>
          <w:rFonts w:ascii="Arial" w:hAnsi="Arial" w:cs="Arial"/>
          <w:sz w:val="24"/>
          <w:szCs w:val="24"/>
        </w:rPr>
        <w:t>behave as glutamate</w:t>
      </w:r>
      <w:r w:rsidR="000D0A2C">
        <w:rPr>
          <w:rFonts w:ascii="Arial" w:hAnsi="Arial" w:cs="Arial"/>
          <w:sz w:val="24"/>
          <w:szCs w:val="24"/>
        </w:rPr>
        <w:t>. However, it does mimic glutamate but</w:t>
      </w:r>
      <w:r w:rsidR="001761A6" w:rsidRPr="0084686F">
        <w:rPr>
          <w:rFonts w:ascii="Arial" w:hAnsi="Arial" w:cs="Arial"/>
          <w:sz w:val="24"/>
          <w:szCs w:val="24"/>
        </w:rPr>
        <w:t xml:space="preserve"> </w:t>
      </w:r>
      <w:r w:rsidR="000D0A2C">
        <w:rPr>
          <w:rFonts w:ascii="Arial" w:hAnsi="Arial" w:cs="Arial"/>
          <w:sz w:val="24"/>
          <w:szCs w:val="24"/>
        </w:rPr>
        <w:t xml:space="preserve">with </w:t>
      </w:r>
      <w:r w:rsidR="0084686F" w:rsidRPr="0084686F">
        <w:rPr>
          <w:rFonts w:ascii="Arial" w:hAnsi="Arial" w:cs="Arial"/>
          <w:sz w:val="24"/>
          <w:szCs w:val="24"/>
        </w:rPr>
        <w:t xml:space="preserve">less affinity. </w:t>
      </w:r>
      <w:r w:rsidR="001A406E" w:rsidRPr="0084686F">
        <w:rPr>
          <w:rFonts w:ascii="Arial" w:eastAsia="Times New Roman" w:hAnsi="Arial" w:cs="Arial"/>
          <w:sz w:val="24"/>
          <w:szCs w:val="24"/>
        </w:rPr>
        <w:t>Recent studies suggested that the properties of ionotropic glutamate receptor subunits can be changed by mutating the amino acid at the second transmemb</w:t>
      </w:r>
      <w:r w:rsidR="001A406E" w:rsidRPr="00782D7B">
        <w:rPr>
          <w:rFonts w:ascii="Arial" w:eastAsia="Times New Roman" w:hAnsi="Arial" w:cs="Arial"/>
          <w:sz w:val="24"/>
          <w:szCs w:val="24"/>
        </w:rPr>
        <w:t xml:space="preserve">rane segment which forms the lining of the pore region (Bochet et al., 1991; </w:t>
      </w:r>
      <w:r w:rsidR="001A406E" w:rsidRPr="00782D7B">
        <w:rPr>
          <w:rFonts w:ascii="Arial" w:eastAsia="Times New Roman" w:hAnsi="Arial" w:cs="Arial"/>
          <w:sz w:val="24"/>
          <w:szCs w:val="24"/>
        </w:rPr>
        <w:lastRenderedPageBreak/>
        <w:t>Curutchet et al., 1992</w:t>
      </w:r>
      <w:r w:rsidR="00534E64" w:rsidRPr="00782D7B">
        <w:rPr>
          <w:rFonts w:ascii="Arial" w:eastAsia="Times New Roman" w:hAnsi="Arial" w:cs="Arial"/>
          <w:sz w:val="24"/>
          <w:szCs w:val="24"/>
        </w:rPr>
        <w:t>; Verdoorn et al., 1991</w:t>
      </w:r>
      <w:r w:rsidR="001A406E" w:rsidRPr="00782D7B">
        <w:rPr>
          <w:rFonts w:ascii="Arial" w:eastAsia="Times New Roman" w:hAnsi="Arial" w:cs="Arial"/>
          <w:sz w:val="24"/>
          <w:szCs w:val="24"/>
        </w:rPr>
        <w:t>).</w:t>
      </w:r>
      <w:r w:rsidR="001A406E" w:rsidRPr="00782D7B">
        <w:rPr>
          <w:rFonts w:ascii="Arial" w:hAnsi="Arial" w:cs="Arial"/>
          <w:sz w:val="24"/>
          <w:szCs w:val="24"/>
        </w:rPr>
        <w:t xml:space="preserve"> For the functional muscle-expressed glutamate receptor GluR-IIC, GluR-IID, GluR-IIE and either GluR-IIA or GluR-IIB </w:t>
      </w:r>
      <w:r w:rsidR="008D0260">
        <w:rPr>
          <w:rFonts w:ascii="Arial" w:hAnsi="Arial" w:cs="Arial"/>
          <w:sz w:val="24"/>
          <w:szCs w:val="24"/>
        </w:rPr>
        <w:t>are</w:t>
      </w:r>
      <w:r w:rsidR="001A406E" w:rsidRPr="00782D7B">
        <w:rPr>
          <w:rFonts w:ascii="Arial" w:hAnsi="Arial" w:cs="Arial"/>
          <w:sz w:val="24"/>
          <w:szCs w:val="24"/>
        </w:rPr>
        <w:t xml:space="preserve"> essential for function. Therefore, only based on the ligand binding domain</w:t>
      </w:r>
      <w:r w:rsidR="008D0260">
        <w:rPr>
          <w:rFonts w:ascii="Arial" w:hAnsi="Arial" w:cs="Arial"/>
          <w:sz w:val="24"/>
          <w:szCs w:val="24"/>
        </w:rPr>
        <w:t>,</w:t>
      </w:r>
      <w:r w:rsidR="001A406E" w:rsidRPr="00782D7B">
        <w:rPr>
          <w:rFonts w:ascii="Arial" w:hAnsi="Arial" w:cs="Arial"/>
          <w:sz w:val="24"/>
          <w:szCs w:val="24"/>
        </w:rPr>
        <w:t xml:space="preserve"> tetrameric structure was suggested. </w:t>
      </w:r>
      <w:r w:rsidR="00AA75F5" w:rsidRPr="00782D7B">
        <w:rPr>
          <w:rFonts w:ascii="Arial" w:hAnsi="Arial" w:cs="Arial"/>
          <w:sz w:val="24"/>
          <w:szCs w:val="24"/>
        </w:rPr>
        <w:t>T</w:t>
      </w:r>
      <w:r w:rsidR="001A406E" w:rsidRPr="00782D7B">
        <w:rPr>
          <w:rFonts w:ascii="Arial" w:hAnsi="Arial" w:cs="Arial"/>
          <w:sz w:val="24"/>
          <w:szCs w:val="24"/>
        </w:rPr>
        <w:t>he correct subunit stoichiometry is not known</w:t>
      </w:r>
      <w:r w:rsidR="00AA75F5" w:rsidRPr="00782D7B">
        <w:rPr>
          <w:rFonts w:ascii="Arial" w:hAnsi="Arial" w:cs="Arial"/>
          <w:sz w:val="24"/>
          <w:szCs w:val="24"/>
        </w:rPr>
        <w:t xml:space="preserve">. The receptor </w:t>
      </w:r>
      <w:r w:rsidR="001A406E" w:rsidRPr="00782D7B">
        <w:rPr>
          <w:rFonts w:ascii="Arial" w:hAnsi="Arial" w:cs="Arial"/>
          <w:sz w:val="24"/>
          <w:szCs w:val="24"/>
        </w:rPr>
        <w:t xml:space="preserve">can be pentameric or </w:t>
      </w:r>
      <w:r w:rsidR="008D0260">
        <w:rPr>
          <w:rFonts w:ascii="Arial" w:hAnsi="Arial" w:cs="Arial"/>
          <w:sz w:val="24"/>
          <w:szCs w:val="24"/>
        </w:rPr>
        <w:t>greater</w:t>
      </w:r>
      <w:r w:rsidR="001A406E" w:rsidRPr="00782D7B">
        <w:rPr>
          <w:rFonts w:ascii="Arial" w:hAnsi="Arial" w:cs="Arial"/>
          <w:sz w:val="24"/>
          <w:szCs w:val="24"/>
        </w:rPr>
        <w:t xml:space="preserve"> such as (IIA)(IIB)(IIC)(IID)(IIE) or (IIA)(IIA)(IIC)(IID)(IIE) </w:t>
      </w:r>
      <w:r w:rsidR="00AA75F5" w:rsidRPr="00782D7B">
        <w:rPr>
          <w:rFonts w:ascii="Arial" w:hAnsi="Arial" w:cs="Arial"/>
          <w:sz w:val="24"/>
          <w:szCs w:val="24"/>
        </w:rPr>
        <w:t xml:space="preserve">to be </w:t>
      </w:r>
      <w:r w:rsidR="001A406E" w:rsidRPr="00782D7B">
        <w:rPr>
          <w:rFonts w:ascii="Arial" w:hAnsi="Arial" w:cs="Arial"/>
          <w:sz w:val="24"/>
          <w:szCs w:val="24"/>
        </w:rPr>
        <w:t xml:space="preserve">functional. Also, </w:t>
      </w:r>
      <w:r w:rsidR="001A406E" w:rsidRPr="00782D7B">
        <w:rPr>
          <w:rFonts w:ascii="Arial" w:eastAsia="Times New Roman" w:hAnsi="Arial" w:cs="Arial"/>
          <w:sz w:val="24"/>
          <w:szCs w:val="24"/>
        </w:rPr>
        <w:t>glutamate receptor complexes which contain either GluR-IIA or GluR-IIB have opposite physiological properties by showing slow and fast desensitization, respectively (DiAntonio et al., 1999).</w:t>
      </w:r>
      <w:r w:rsidR="001A406E" w:rsidRPr="00782D7B">
        <w:rPr>
          <w:rFonts w:ascii="Arial" w:hAnsi="Arial" w:cs="Arial"/>
          <w:sz w:val="24"/>
          <w:szCs w:val="24"/>
        </w:rPr>
        <w:t xml:space="preserve"> Thus, as constitute</w:t>
      </w:r>
      <w:r w:rsidR="002C6B98" w:rsidRPr="00782D7B">
        <w:rPr>
          <w:rFonts w:ascii="Arial" w:hAnsi="Arial" w:cs="Arial"/>
          <w:sz w:val="24"/>
          <w:szCs w:val="24"/>
        </w:rPr>
        <w:t>d</w:t>
      </w:r>
      <w:r w:rsidR="001A406E" w:rsidRPr="00782D7B">
        <w:rPr>
          <w:rFonts w:ascii="Arial" w:hAnsi="Arial" w:cs="Arial"/>
          <w:sz w:val="24"/>
          <w:szCs w:val="24"/>
        </w:rPr>
        <w:t xml:space="preserve"> receptor</w:t>
      </w:r>
      <w:r w:rsidR="002C6B98" w:rsidRPr="00782D7B">
        <w:rPr>
          <w:rFonts w:ascii="Arial" w:hAnsi="Arial" w:cs="Arial"/>
          <w:sz w:val="24"/>
          <w:szCs w:val="24"/>
        </w:rPr>
        <w:t xml:space="preserve"> subunits are put together</w:t>
      </w:r>
      <w:r w:rsidR="001A406E" w:rsidRPr="00782D7B">
        <w:rPr>
          <w:rFonts w:ascii="Arial" w:hAnsi="Arial" w:cs="Arial"/>
          <w:sz w:val="24"/>
          <w:szCs w:val="24"/>
        </w:rPr>
        <w:t xml:space="preserve"> it is likely that the receptor is functionally changed</w:t>
      </w:r>
      <w:r w:rsidR="001A406E" w:rsidRPr="00782D7B">
        <w:rPr>
          <w:rFonts w:ascii="Arial" w:eastAsia="Times New Roman" w:hAnsi="Arial" w:cs="Arial"/>
          <w:sz w:val="24"/>
          <w:szCs w:val="24"/>
        </w:rPr>
        <w:t xml:space="preserve">. </w:t>
      </w:r>
      <w:r w:rsidR="002C6B98" w:rsidRPr="00782D7B">
        <w:rPr>
          <w:rFonts w:ascii="Arial" w:eastAsia="Times New Roman" w:hAnsi="Arial" w:cs="Arial"/>
          <w:sz w:val="24"/>
          <w:szCs w:val="24"/>
        </w:rPr>
        <w:t xml:space="preserve">There could also be mixed subunit combinations along the nerve terminal among the many synaptic sites, since </w:t>
      </w:r>
      <w:r w:rsidR="009A68BB" w:rsidRPr="00782D7B">
        <w:rPr>
          <w:rFonts w:ascii="Arial" w:eastAsia="Times New Roman" w:hAnsi="Arial" w:cs="Arial"/>
          <w:sz w:val="24"/>
          <w:szCs w:val="24"/>
        </w:rPr>
        <w:t>the terminal is</w:t>
      </w:r>
      <w:r w:rsidR="008D0260" w:rsidRPr="008D0260">
        <w:rPr>
          <w:rFonts w:ascii="Arial" w:eastAsia="Times New Roman" w:hAnsi="Arial" w:cs="Arial"/>
          <w:sz w:val="24"/>
          <w:szCs w:val="24"/>
        </w:rPr>
        <w:t xml:space="preserve"> </w:t>
      </w:r>
      <w:r w:rsidR="008D0260" w:rsidRPr="00782D7B">
        <w:rPr>
          <w:rFonts w:ascii="Arial" w:eastAsia="Times New Roman" w:hAnsi="Arial" w:cs="Arial"/>
          <w:sz w:val="24"/>
          <w:szCs w:val="24"/>
        </w:rPr>
        <w:t xml:space="preserve">developmental </w:t>
      </w:r>
      <w:r w:rsidR="009A68BB" w:rsidRPr="00782D7B">
        <w:rPr>
          <w:rFonts w:ascii="Arial" w:eastAsia="Times New Roman" w:hAnsi="Arial" w:cs="Arial"/>
          <w:sz w:val="24"/>
          <w:szCs w:val="24"/>
        </w:rPr>
        <w:t>different</w:t>
      </w:r>
      <w:r w:rsidR="002C6B98" w:rsidRPr="00782D7B">
        <w:rPr>
          <w:rFonts w:ascii="Arial" w:eastAsia="Times New Roman" w:hAnsi="Arial" w:cs="Arial"/>
          <w:sz w:val="24"/>
          <w:szCs w:val="24"/>
        </w:rPr>
        <w:t xml:space="preserve"> in age</w:t>
      </w:r>
      <w:r w:rsidR="0045044B" w:rsidRPr="00782D7B">
        <w:rPr>
          <w:rFonts w:ascii="Arial" w:eastAsia="Times New Roman" w:hAnsi="Arial" w:cs="Arial"/>
          <w:sz w:val="24"/>
          <w:szCs w:val="24"/>
        </w:rPr>
        <w:t xml:space="preserve"> </w:t>
      </w:r>
      <w:r w:rsidR="002C6B98" w:rsidRPr="00782D7B">
        <w:rPr>
          <w:rFonts w:ascii="Arial" w:eastAsia="Times New Roman" w:hAnsi="Arial" w:cs="Arial"/>
          <w:sz w:val="24"/>
          <w:szCs w:val="24"/>
        </w:rPr>
        <w:t xml:space="preserve">(Atwood and Cooper, </w:t>
      </w:r>
      <w:r w:rsidR="00CD4E1A" w:rsidRPr="00782D7B">
        <w:rPr>
          <w:rFonts w:ascii="Arial" w:eastAsia="Times New Roman" w:hAnsi="Arial" w:cs="Arial"/>
          <w:sz w:val="24"/>
          <w:szCs w:val="24"/>
        </w:rPr>
        <w:t>1995</w:t>
      </w:r>
      <w:r w:rsidR="002C6B98" w:rsidRPr="00782D7B">
        <w:rPr>
          <w:rFonts w:ascii="Arial" w:eastAsia="Times New Roman" w:hAnsi="Arial" w:cs="Arial"/>
          <w:sz w:val="24"/>
          <w:szCs w:val="24"/>
        </w:rPr>
        <w:t xml:space="preserve">; </w:t>
      </w:r>
      <w:r w:rsidR="006B5EA8" w:rsidRPr="00782D7B">
        <w:rPr>
          <w:rFonts w:ascii="Arial" w:eastAsia="Times New Roman" w:hAnsi="Arial" w:cs="Arial"/>
          <w:sz w:val="24"/>
          <w:szCs w:val="24"/>
        </w:rPr>
        <w:t xml:space="preserve">He et al., 2009; </w:t>
      </w:r>
      <w:r w:rsidR="002C6B98" w:rsidRPr="00782D7B">
        <w:rPr>
          <w:rFonts w:ascii="Arial" w:eastAsia="Times New Roman" w:hAnsi="Arial" w:cs="Arial"/>
          <w:sz w:val="24"/>
          <w:szCs w:val="24"/>
        </w:rPr>
        <w:t xml:space="preserve">Li et al., </w:t>
      </w:r>
      <w:r w:rsidR="00CD4E1A" w:rsidRPr="00782D7B">
        <w:rPr>
          <w:rFonts w:ascii="Arial" w:eastAsia="Times New Roman" w:hAnsi="Arial" w:cs="Arial"/>
          <w:sz w:val="24"/>
          <w:szCs w:val="24"/>
        </w:rPr>
        <w:t>2002</w:t>
      </w:r>
      <w:r w:rsidR="002C6B98" w:rsidRPr="00782D7B">
        <w:rPr>
          <w:rFonts w:ascii="Arial" w:eastAsia="Times New Roman" w:hAnsi="Arial" w:cs="Arial"/>
          <w:sz w:val="24"/>
          <w:szCs w:val="24"/>
        </w:rPr>
        <w:t>) and function (</w:t>
      </w:r>
      <w:r w:rsidR="00FE38A9" w:rsidRPr="00782D7B">
        <w:rPr>
          <w:rFonts w:ascii="Arial" w:eastAsia="Times New Roman" w:hAnsi="Arial" w:cs="Arial"/>
          <w:sz w:val="24"/>
          <w:szCs w:val="24"/>
        </w:rPr>
        <w:t xml:space="preserve">Bogdanik et al., 2004; </w:t>
      </w:r>
      <w:r w:rsidR="009A68BB" w:rsidRPr="00782D7B">
        <w:rPr>
          <w:rFonts w:ascii="Arial" w:eastAsia="Times New Roman" w:hAnsi="Arial" w:cs="Arial"/>
          <w:sz w:val="24"/>
          <w:szCs w:val="24"/>
        </w:rPr>
        <w:t xml:space="preserve">Guerrero et al., 2005; Marrus et al., </w:t>
      </w:r>
      <w:r w:rsidR="006B5EA8" w:rsidRPr="00782D7B">
        <w:rPr>
          <w:rFonts w:ascii="Arial" w:eastAsia="Times New Roman" w:hAnsi="Arial" w:cs="Arial"/>
          <w:sz w:val="24"/>
          <w:szCs w:val="24"/>
        </w:rPr>
        <w:t>2</w:t>
      </w:r>
      <w:r w:rsidR="009A68BB" w:rsidRPr="00782D7B">
        <w:rPr>
          <w:rFonts w:ascii="Arial" w:eastAsia="Times New Roman" w:hAnsi="Arial" w:cs="Arial"/>
          <w:sz w:val="24"/>
          <w:szCs w:val="24"/>
        </w:rPr>
        <w:t>004</w:t>
      </w:r>
      <w:r w:rsidR="006B5EA8" w:rsidRPr="00782D7B">
        <w:rPr>
          <w:rFonts w:ascii="Arial" w:eastAsia="Times New Roman" w:hAnsi="Arial" w:cs="Arial"/>
          <w:sz w:val="24"/>
          <w:szCs w:val="24"/>
        </w:rPr>
        <w:t>; Liebl and Featherstone, 2005</w:t>
      </w:r>
      <w:r w:rsidR="002C6B98" w:rsidRPr="00782D7B">
        <w:rPr>
          <w:rFonts w:ascii="Arial" w:eastAsia="Times New Roman" w:hAnsi="Arial" w:cs="Arial"/>
          <w:sz w:val="24"/>
          <w:szCs w:val="24"/>
        </w:rPr>
        <w:t>)</w:t>
      </w:r>
      <w:r w:rsidR="008D0260" w:rsidRPr="008D0260">
        <w:rPr>
          <w:rFonts w:ascii="Arial" w:eastAsia="Times New Roman" w:hAnsi="Arial" w:cs="Arial"/>
          <w:sz w:val="24"/>
          <w:szCs w:val="24"/>
        </w:rPr>
        <w:t xml:space="preserve"> </w:t>
      </w:r>
      <w:r w:rsidR="008D0260" w:rsidRPr="00782D7B">
        <w:rPr>
          <w:rFonts w:ascii="Arial" w:eastAsia="Times New Roman" w:hAnsi="Arial" w:cs="Arial"/>
          <w:sz w:val="24"/>
          <w:szCs w:val="24"/>
        </w:rPr>
        <w:t>along its length</w:t>
      </w:r>
      <w:r w:rsidR="002C6B98" w:rsidRPr="00782D7B">
        <w:rPr>
          <w:rFonts w:ascii="Arial" w:eastAsia="Times New Roman" w:hAnsi="Arial" w:cs="Arial"/>
          <w:sz w:val="24"/>
          <w:szCs w:val="24"/>
        </w:rPr>
        <w:t>.</w:t>
      </w:r>
      <w:r w:rsidR="001A406E" w:rsidRPr="00782D7B">
        <w:rPr>
          <w:rFonts w:ascii="Arial" w:eastAsia="Times New Roman" w:hAnsi="Arial" w:cs="Arial"/>
          <w:sz w:val="24"/>
          <w:szCs w:val="24"/>
        </w:rPr>
        <w:t xml:space="preserve"> </w:t>
      </w:r>
      <w:r w:rsidR="006871AF" w:rsidRPr="00782D7B">
        <w:rPr>
          <w:rFonts w:ascii="Arial" w:eastAsia="Times New Roman" w:hAnsi="Arial" w:cs="Arial"/>
          <w:sz w:val="24"/>
          <w:szCs w:val="24"/>
        </w:rPr>
        <w:t xml:space="preserve"> Developmental alteration in kainate receptors </w:t>
      </w:r>
      <w:r w:rsidR="008D0260">
        <w:rPr>
          <w:rFonts w:ascii="Arial" w:eastAsia="Times New Roman" w:hAnsi="Arial" w:cs="Arial"/>
          <w:sz w:val="24"/>
          <w:szCs w:val="24"/>
        </w:rPr>
        <w:t>is</w:t>
      </w:r>
      <w:r w:rsidR="006871AF" w:rsidRPr="00782D7B">
        <w:rPr>
          <w:rFonts w:ascii="Arial" w:eastAsia="Times New Roman" w:hAnsi="Arial" w:cs="Arial"/>
          <w:sz w:val="24"/>
          <w:szCs w:val="24"/>
        </w:rPr>
        <w:t xml:space="preserve"> known in vertebrates (</w:t>
      </w:r>
      <w:r w:rsidR="006871AF" w:rsidRPr="00782D7B">
        <w:rPr>
          <w:rFonts w:ascii="Arial" w:hAnsi="Arial" w:cs="Arial"/>
          <w:bCs/>
          <w:sz w:val="24"/>
          <w:szCs w:val="24"/>
        </w:rPr>
        <w:t xml:space="preserve">Lee et al., 2001). </w:t>
      </w:r>
      <w:r w:rsidR="002C6B98" w:rsidRPr="00782D7B">
        <w:rPr>
          <w:rFonts w:ascii="Arial" w:eastAsia="Times New Roman" w:hAnsi="Arial" w:cs="Arial"/>
          <w:sz w:val="24"/>
          <w:szCs w:val="24"/>
        </w:rPr>
        <w:t xml:space="preserve">Thus, </w:t>
      </w:r>
      <w:r w:rsidR="001E4853" w:rsidRPr="00782D7B">
        <w:rPr>
          <w:rFonts w:ascii="Arial" w:eastAsia="Times New Roman" w:hAnsi="Arial" w:cs="Arial"/>
          <w:sz w:val="24"/>
          <w:szCs w:val="24"/>
        </w:rPr>
        <w:t>variability</w:t>
      </w:r>
      <w:r w:rsidR="002C6B98" w:rsidRPr="00782D7B">
        <w:rPr>
          <w:rFonts w:ascii="Arial" w:eastAsia="Times New Roman" w:hAnsi="Arial" w:cs="Arial"/>
          <w:sz w:val="24"/>
          <w:szCs w:val="24"/>
        </w:rPr>
        <w:t xml:space="preserve"> in whole muscle responses to pharmacological agents might be masked, but if older and younger regions of the terminals were </w:t>
      </w:r>
      <w:r w:rsidR="001E4853" w:rsidRPr="00782D7B">
        <w:rPr>
          <w:rFonts w:ascii="Arial" w:eastAsia="Times New Roman" w:hAnsi="Arial" w:cs="Arial"/>
          <w:sz w:val="24"/>
          <w:szCs w:val="24"/>
        </w:rPr>
        <w:t>monitored</w:t>
      </w:r>
      <w:r w:rsidR="002C6B98" w:rsidRPr="00782D7B">
        <w:rPr>
          <w:rFonts w:ascii="Arial" w:eastAsia="Times New Roman" w:hAnsi="Arial" w:cs="Arial"/>
          <w:sz w:val="24"/>
          <w:szCs w:val="24"/>
        </w:rPr>
        <w:t xml:space="preserve"> with focal macropatch electrodes larger differences in the pharmacological profiles and sensitivities might be observed.  </w:t>
      </w:r>
    </w:p>
    <w:p w:rsidR="00166CDF" w:rsidRPr="00782D7B" w:rsidRDefault="00166CDF" w:rsidP="008E4CBF">
      <w:pPr>
        <w:tabs>
          <w:tab w:val="left" w:pos="-1440"/>
        </w:tabs>
        <w:spacing w:line="480" w:lineRule="auto"/>
        <w:jc w:val="both"/>
        <w:rPr>
          <w:rFonts w:ascii="Arial" w:eastAsia="Times New Roman" w:hAnsi="Arial" w:cs="Arial"/>
          <w:sz w:val="24"/>
          <w:szCs w:val="24"/>
        </w:rPr>
      </w:pPr>
      <w:r w:rsidRPr="00782D7B">
        <w:rPr>
          <w:rFonts w:ascii="Arial" w:eastAsia="Times New Roman" w:hAnsi="Arial" w:cs="Arial"/>
          <w:sz w:val="24"/>
          <w:szCs w:val="24"/>
        </w:rPr>
        <w:tab/>
        <w:t xml:space="preserve">It was proposed that the five subunits </w:t>
      </w:r>
      <w:r w:rsidR="008D0260">
        <w:rPr>
          <w:rFonts w:ascii="Arial" w:eastAsia="Times New Roman" w:hAnsi="Arial" w:cs="Arial"/>
          <w:sz w:val="24"/>
          <w:szCs w:val="24"/>
        </w:rPr>
        <w:t>forming the</w:t>
      </w:r>
      <w:r w:rsidRPr="00782D7B">
        <w:rPr>
          <w:rFonts w:ascii="Arial" w:eastAsia="Times New Roman" w:hAnsi="Arial" w:cs="Arial"/>
          <w:sz w:val="24"/>
          <w:szCs w:val="24"/>
        </w:rPr>
        <w:t xml:space="preserve"> postsynaptic receptors in </w:t>
      </w:r>
      <w:r w:rsidRPr="00782D7B">
        <w:rPr>
          <w:rFonts w:ascii="Arial" w:eastAsia="Times New Roman" w:hAnsi="Arial" w:cs="Arial"/>
          <w:i/>
          <w:sz w:val="24"/>
          <w:szCs w:val="24"/>
        </w:rPr>
        <w:t>Drosophila</w:t>
      </w:r>
      <w:r w:rsidRPr="00782D7B">
        <w:rPr>
          <w:rFonts w:ascii="Arial" w:eastAsia="Times New Roman" w:hAnsi="Arial" w:cs="Arial"/>
          <w:sz w:val="24"/>
          <w:szCs w:val="24"/>
        </w:rPr>
        <w:t xml:space="preserve"> NMJ are somewhat similar in homology to kainate receptors in vertebrates and thus were termed kainate-like</w:t>
      </w:r>
      <w:r w:rsidRPr="00782D7B">
        <w:rPr>
          <w:rFonts w:ascii="Arial" w:hAnsi="Arial" w:cs="Arial"/>
          <w:sz w:val="24"/>
          <w:szCs w:val="24"/>
        </w:rPr>
        <w:t xml:space="preserve"> (Betz </w:t>
      </w:r>
      <w:r w:rsidRPr="00782D7B">
        <w:rPr>
          <w:rFonts w:ascii="Arial" w:hAnsi="Arial" w:cs="Arial"/>
          <w:iCs/>
          <w:sz w:val="24"/>
          <w:szCs w:val="24"/>
        </w:rPr>
        <w:t>et al</w:t>
      </w:r>
      <w:r w:rsidRPr="00782D7B">
        <w:rPr>
          <w:rFonts w:ascii="Arial" w:hAnsi="Arial" w:cs="Arial"/>
          <w:sz w:val="24"/>
          <w:szCs w:val="24"/>
        </w:rPr>
        <w:t xml:space="preserve">., 1993; </w:t>
      </w:r>
      <w:r w:rsidR="00534E64" w:rsidRPr="00782D7B">
        <w:rPr>
          <w:rFonts w:ascii="Arial" w:hAnsi="Arial" w:cs="Arial"/>
          <w:sz w:val="24"/>
          <w:szCs w:val="24"/>
        </w:rPr>
        <w:t xml:space="preserve">Guerrero et al., 2005; </w:t>
      </w:r>
      <w:r w:rsidRPr="00782D7B">
        <w:rPr>
          <w:rFonts w:ascii="Arial" w:hAnsi="Arial" w:cs="Arial"/>
          <w:sz w:val="24"/>
          <w:szCs w:val="24"/>
        </w:rPr>
        <w:t xml:space="preserve">Marrus </w:t>
      </w:r>
      <w:r w:rsidRPr="00782D7B">
        <w:rPr>
          <w:rFonts w:ascii="Arial" w:hAnsi="Arial" w:cs="Arial"/>
          <w:iCs/>
          <w:sz w:val="24"/>
          <w:szCs w:val="24"/>
        </w:rPr>
        <w:t>et al</w:t>
      </w:r>
      <w:r w:rsidRPr="00782D7B">
        <w:rPr>
          <w:rFonts w:ascii="Arial" w:hAnsi="Arial" w:cs="Arial"/>
          <w:sz w:val="24"/>
          <w:szCs w:val="24"/>
        </w:rPr>
        <w:t>., 2004; Qin et al., 2005;</w:t>
      </w:r>
      <w:r w:rsidR="00534E64" w:rsidRPr="00782D7B">
        <w:rPr>
          <w:rFonts w:ascii="Arial" w:hAnsi="Arial" w:cs="Arial"/>
          <w:sz w:val="24"/>
          <w:szCs w:val="24"/>
        </w:rPr>
        <w:t xml:space="preserve"> Völkner </w:t>
      </w:r>
      <w:r w:rsidR="00534E64" w:rsidRPr="00782D7B">
        <w:rPr>
          <w:rFonts w:ascii="Arial" w:hAnsi="Arial" w:cs="Arial"/>
          <w:iCs/>
          <w:sz w:val="24"/>
          <w:szCs w:val="24"/>
        </w:rPr>
        <w:t>et al</w:t>
      </w:r>
      <w:r w:rsidR="00534E64" w:rsidRPr="00782D7B">
        <w:rPr>
          <w:rFonts w:ascii="Arial" w:hAnsi="Arial" w:cs="Arial"/>
          <w:sz w:val="24"/>
          <w:szCs w:val="24"/>
        </w:rPr>
        <w:t>., 2000</w:t>
      </w:r>
      <w:r w:rsidRPr="00782D7B">
        <w:rPr>
          <w:rFonts w:ascii="Arial" w:hAnsi="Arial" w:cs="Arial"/>
          <w:sz w:val="24"/>
          <w:szCs w:val="24"/>
        </w:rPr>
        <w:t>)</w:t>
      </w:r>
      <w:r w:rsidRPr="00782D7B">
        <w:rPr>
          <w:rFonts w:ascii="Arial" w:eastAsia="Times New Roman" w:hAnsi="Arial" w:cs="Arial"/>
          <w:sz w:val="24"/>
          <w:szCs w:val="24"/>
        </w:rPr>
        <w:t xml:space="preserve">. In comparing the postsynaptic receptor molecular sequence of </w:t>
      </w:r>
      <w:r w:rsidRPr="00782D7B">
        <w:rPr>
          <w:rFonts w:ascii="Arial" w:eastAsia="Times New Roman" w:hAnsi="Arial" w:cs="Arial"/>
          <w:i/>
          <w:sz w:val="24"/>
          <w:szCs w:val="24"/>
        </w:rPr>
        <w:t>Drosophila</w:t>
      </w:r>
      <w:r w:rsidRPr="00782D7B">
        <w:rPr>
          <w:rFonts w:ascii="Arial" w:eastAsia="Times New Roman" w:hAnsi="Arial" w:cs="Arial"/>
          <w:sz w:val="24"/>
          <w:szCs w:val="24"/>
        </w:rPr>
        <w:t xml:space="preserve"> NMJ with a kainate receptor in </w:t>
      </w:r>
      <w:r w:rsidRPr="00782D7B">
        <w:rPr>
          <w:rFonts w:ascii="Arial" w:eastAsia="Times New Roman" w:hAnsi="Arial" w:cs="Arial"/>
          <w:i/>
          <w:sz w:val="24"/>
          <w:szCs w:val="24"/>
        </w:rPr>
        <w:t>Homo sapiens</w:t>
      </w:r>
      <w:r w:rsidRPr="00782D7B">
        <w:rPr>
          <w:rFonts w:ascii="Arial" w:eastAsia="Times New Roman" w:hAnsi="Arial" w:cs="Arial"/>
          <w:sz w:val="24"/>
          <w:szCs w:val="24"/>
        </w:rPr>
        <w:t xml:space="preserve">, which </w:t>
      </w:r>
      <w:r w:rsidRPr="00782D7B">
        <w:rPr>
          <w:rFonts w:ascii="Arial" w:eastAsia="Times New Roman" w:hAnsi="Arial" w:cs="Arial"/>
          <w:sz w:val="24"/>
          <w:szCs w:val="24"/>
        </w:rPr>
        <w:lastRenderedPageBreak/>
        <w:t xml:space="preserve">contains the highest homology in the vertebrates, each subunit shows a moderate similarity between </w:t>
      </w:r>
      <w:r w:rsidR="008D0260">
        <w:rPr>
          <w:rFonts w:ascii="Arial" w:eastAsia="Times New Roman" w:hAnsi="Arial" w:cs="Arial"/>
          <w:sz w:val="24"/>
          <w:szCs w:val="24"/>
        </w:rPr>
        <w:t xml:space="preserve">the </w:t>
      </w:r>
      <w:r w:rsidRPr="00782D7B">
        <w:rPr>
          <w:rFonts w:ascii="Arial" w:eastAsia="Times New Roman" w:hAnsi="Arial" w:cs="Arial"/>
          <w:sz w:val="24"/>
          <w:szCs w:val="24"/>
        </w:rPr>
        <w:t>two species. Extracellular domains of the receptors are not significantly higher in similarity compared to total sequence (</w:t>
      </w:r>
      <w:r w:rsidRPr="00782D7B">
        <w:rPr>
          <w:rFonts w:ascii="Arial" w:eastAsia="Times New Roman" w:hAnsi="Arial" w:cs="Arial"/>
          <w:b/>
          <w:sz w:val="24"/>
          <w:szCs w:val="24"/>
        </w:rPr>
        <w:t>Fig</w:t>
      </w:r>
      <w:r w:rsidR="00CD4E1A" w:rsidRPr="00782D7B">
        <w:rPr>
          <w:rFonts w:ascii="Arial" w:eastAsia="Times New Roman" w:hAnsi="Arial" w:cs="Arial"/>
          <w:b/>
          <w:sz w:val="24"/>
          <w:szCs w:val="24"/>
        </w:rPr>
        <w:t>ure</w:t>
      </w:r>
      <w:r w:rsidRPr="00782D7B">
        <w:rPr>
          <w:rFonts w:ascii="Arial" w:eastAsia="Times New Roman" w:hAnsi="Arial" w:cs="Arial"/>
          <w:b/>
          <w:sz w:val="24"/>
          <w:szCs w:val="24"/>
        </w:rPr>
        <w:t xml:space="preserve"> </w:t>
      </w:r>
      <w:r w:rsidR="00241545" w:rsidRPr="00782D7B">
        <w:rPr>
          <w:rFonts w:ascii="Arial" w:eastAsia="Times New Roman" w:hAnsi="Arial" w:cs="Arial"/>
          <w:b/>
          <w:sz w:val="24"/>
          <w:szCs w:val="24"/>
        </w:rPr>
        <w:t>1</w:t>
      </w:r>
      <w:r w:rsidR="00BE7713">
        <w:rPr>
          <w:rFonts w:ascii="Arial" w:eastAsia="Times New Roman" w:hAnsi="Arial" w:cs="Arial"/>
          <w:b/>
          <w:sz w:val="24"/>
          <w:szCs w:val="24"/>
        </w:rPr>
        <w:t>0</w:t>
      </w:r>
      <w:r w:rsidRPr="00782D7B">
        <w:rPr>
          <w:rFonts w:ascii="Arial" w:eastAsia="Times New Roman" w:hAnsi="Arial" w:cs="Arial"/>
          <w:sz w:val="24"/>
          <w:szCs w:val="24"/>
        </w:rPr>
        <w:t xml:space="preserve">).  In a phylogeny tree with 36 glutamate receptor protein sequences in </w:t>
      </w:r>
      <w:r w:rsidRPr="00782D7B">
        <w:rPr>
          <w:rFonts w:ascii="Arial" w:eastAsia="Times New Roman" w:hAnsi="Arial" w:cs="Arial"/>
          <w:i/>
          <w:sz w:val="24"/>
          <w:szCs w:val="24"/>
        </w:rPr>
        <w:t>Drosophila melanogaster</w:t>
      </w:r>
      <w:r w:rsidRPr="00782D7B">
        <w:rPr>
          <w:rFonts w:ascii="Arial" w:eastAsia="Times New Roman" w:hAnsi="Arial" w:cs="Arial"/>
          <w:sz w:val="24"/>
          <w:szCs w:val="24"/>
        </w:rPr>
        <w:t xml:space="preserve"> and </w:t>
      </w:r>
      <w:r w:rsidR="008D0260">
        <w:rPr>
          <w:rFonts w:ascii="Arial" w:eastAsia="Times New Roman" w:hAnsi="Arial" w:cs="Arial"/>
          <w:sz w:val="24"/>
          <w:szCs w:val="24"/>
        </w:rPr>
        <w:t xml:space="preserve">the </w:t>
      </w:r>
      <w:r w:rsidRPr="00782D7B">
        <w:rPr>
          <w:rFonts w:ascii="Arial" w:eastAsia="Times New Roman" w:hAnsi="Arial" w:cs="Arial"/>
          <w:sz w:val="24"/>
          <w:szCs w:val="24"/>
        </w:rPr>
        <w:t xml:space="preserve">human’s NMDA, kainate and AMPA receptors, the five subunits of postsynaptic receptors in </w:t>
      </w:r>
      <w:r w:rsidRPr="00782D7B">
        <w:rPr>
          <w:rFonts w:ascii="Arial" w:eastAsia="Times New Roman" w:hAnsi="Arial" w:cs="Arial"/>
          <w:i/>
          <w:sz w:val="24"/>
          <w:szCs w:val="24"/>
        </w:rPr>
        <w:t>Drosophila</w:t>
      </w:r>
      <w:r w:rsidRPr="00782D7B">
        <w:rPr>
          <w:rFonts w:ascii="Arial" w:eastAsia="Times New Roman" w:hAnsi="Arial" w:cs="Arial"/>
          <w:sz w:val="24"/>
          <w:szCs w:val="24"/>
        </w:rPr>
        <w:t xml:space="preserve"> NMJ appear to be in a different subgroup to even the closest of the vertebrate kainate/AMPA type receptors (</w:t>
      </w:r>
      <w:r w:rsidRPr="00782D7B">
        <w:rPr>
          <w:rFonts w:ascii="Arial" w:eastAsia="Times New Roman" w:hAnsi="Arial" w:cs="Arial"/>
          <w:b/>
          <w:sz w:val="24"/>
          <w:szCs w:val="24"/>
        </w:rPr>
        <w:t>Fig</w:t>
      </w:r>
      <w:r w:rsidR="00CD4E1A" w:rsidRPr="00782D7B">
        <w:rPr>
          <w:rFonts w:ascii="Arial" w:eastAsia="Times New Roman" w:hAnsi="Arial" w:cs="Arial"/>
          <w:b/>
          <w:sz w:val="24"/>
          <w:szCs w:val="24"/>
        </w:rPr>
        <w:t>ure</w:t>
      </w:r>
      <w:r w:rsidRPr="00782D7B">
        <w:rPr>
          <w:rFonts w:ascii="Arial" w:eastAsia="Times New Roman" w:hAnsi="Arial" w:cs="Arial"/>
          <w:b/>
          <w:sz w:val="24"/>
          <w:szCs w:val="24"/>
        </w:rPr>
        <w:t xml:space="preserve"> </w:t>
      </w:r>
      <w:r w:rsidR="00241545" w:rsidRPr="00782D7B">
        <w:rPr>
          <w:rFonts w:ascii="Arial" w:eastAsia="Times New Roman" w:hAnsi="Arial" w:cs="Arial"/>
          <w:b/>
          <w:sz w:val="24"/>
          <w:szCs w:val="24"/>
        </w:rPr>
        <w:t>1</w:t>
      </w:r>
      <w:r w:rsidR="00BE7713">
        <w:rPr>
          <w:rFonts w:ascii="Arial" w:eastAsia="Times New Roman" w:hAnsi="Arial" w:cs="Arial"/>
          <w:b/>
          <w:sz w:val="24"/>
          <w:szCs w:val="24"/>
        </w:rPr>
        <w:t>1</w:t>
      </w:r>
      <w:r w:rsidRPr="00782D7B">
        <w:rPr>
          <w:rFonts w:ascii="Arial" w:eastAsia="Times New Roman" w:hAnsi="Arial" w:cs="Arial"/>
          <w:sz w:val="24"/>
          <w:szCs w:val="24"/>
        </w:rPr>
        <w:t xml:space="preserve">). </w:t>
      </w:r>
      <w:r w:rsidR="000D0A2C">
        <w:rPr>
          <w:rFonts w:ascii="Arial" w:eastAsia="Times New Roman" w:hAnsi="Arial" w:cs="Arial"/>
          <w:sz w:val="24"/>
          <w:szCs w:val="24"/>
        </w:rPr>
        <w:t>We do not really understand why these receptors were considered to be ‘kainate-like’ in previous comparative studies, as they do not fit the pharmacological profile or the molecular sequence.</w:t>
      </w:r>
    </w:p>
    <w:p w:rsidR="001E4853" w:rsidRPr="00782D7B" w:rsidRDefault="001E4853" w:rsidP="00D01D0A">
      <w:pPr>
        <w:spacing w:line="480" w:lineRule="auto"/>
        <w:jc w:val="both"/>
        <w:rPr>
          <w:rFonts w:ascii="Arial" w:eastAsia="Times New Roman" w:hAnsi="Arial" w:cs="Arial"/>
          <w:sz w:val="24"/>
          <w:szCs w:val="24"/>
        </w:rPr>
      </w:pPr>
      <w:r w:rsidRPr="00782D7B">
        <w:rPr>
          <w:rFonts w:ascii="Arial" w:eastAsia="Times New Roman" w:hAnsi="Arial" w:cs="Arial"/>
          <w:sz w:val="24"/>
          <w:szCs w:val="24"/>
        </w:rPr>
        <w:tab/>
        <w:t>There are multiple examples of pre</w:t>
      </w:r>
      <w:r w:rsidR="00277E38" w:rsidRPr="00782D7B">
        <w:rPr>
          <w:rFonts w:ascii="Arial" w:eastAsia="Times New Roman" w:hAnsi="Arial" w:cs="Arial"/>
          <w:sz w:val="24"/>
          <w:szCs w:val="24"/>
        </w:rPr>
        <w:t>- and/or post</w:t>
      </w:r>
      <w:r w:rsidR="009F01B9" w:rsidRPr="00782D7B">
        <w:rPr>
          <w:rFonts w:ascii="Arial" w:eastAsia="Times New Roman" w:hAnsi="Arial" w:cs="Arial"/>
          <w:sz w:val="24"/>
          <w:szCs w:val="24"/>
        </w:rPr>
        <w:t>-</w:t>
      </w:r>
      <w:r w:rsidR="00277E38" w:rsidRPr="00782D7B">
        <w:rPr>
          <w:rFonts w:ascii="Arial" w:eastAsia="Times New Roman" w:hAnsi="Arial" w:cs="Arial"/>
          <w:sz w:val="24"/>
          <w:szCs w:val="24"/>
        </w:rPr>
        <w:t>synaptic</w:t>
      </w:r>
      <w:r w:rsidR="005F5492" w:rsidRPr="00782D7B">
        <w:rPr>
          <w:rFonts w:ascii="Arial" w:eastAsia="Times New Roman" w:hAnsi="Arial" w:cs="Arial"/>
          <w:sz w:val="24"/>
          <w:szCs w:val="24"/>
        </w:rPr>
        <w:t xml:space="preserve"> action of kainate</w:t>
      </w:r>
      <w:r w:rsidRPr="00782D7B">
        <w:rPr>
          <w:rFonts w:ascii="Arial" w:eastAsia="Times New Roman" w:hAnsi="Arial" w:cs="Arial"/>
          <w:sz w:val="24"/>
          <w:szCs w:val="24"/>
        </w:rPr>
        <w:t xml:space="preserve"> </w:t>
      </w:r>
      <w:r w:rsidR="005F5492" w:rsidRPr="00782D7B">
        <w:rPr>
          <w:rFonts w:ascii="Arial" w:eastAsia="Times New Roman" w:hAnsi="Arial" w:cs="Arial"/>
          <w:sz w:val="24"/>
          <w:szCs w:val="24"/>
        </w:rPr>
        <w:t xml:space="preserve">in enhancing or suppressing synaptic transmission in vertebrate neuronal circuits  (Grabauskas et al., 2007; </w:t>
      </w:r>
      <w:r w:rsidR="00277E38" w:rsidRPr="00782D7B">
        <w:rPr>
          <w:rFonts w:ascii="Arial" w:eastAsia="Times New Roman" w:hAnsi="Arial" w:cs="Arial"/>
          <w:sz w:val="24"/>
          <w:szCs w:val="24"/>
        </w:rPr>
        <w:t xml:space="preserve">Hegarty et al., 2007; </w:t>
      </w:r>
      <w:r w:rsidR="006B5EA8" w:rsidRPr="00782D7B">
        <w:rPr>
          <w:rFonts w:ascii="Arial" w:eastAsia="Times New Roman" w:hAnsi="Arial" w:cs="Arial"/>
          <w:sz w:val="24"/>
          <w:szCs w:val="24"/>
        </w:rPr>
        <w:t xml:space="preserve">Kamiya and Ozawa, 2000; </w:t>
      </w:r>
      <w:r w:rsidR="00277E38" w:rsidRPr="00782D7B">
        <w:rPr>
          <w:rFonts w:ascii="Arial" w:eastAsia="Times New Roman" w:hAnsi="Arial" w:cs="Arial"/>
          <w:sz w:val="24"/>
          <w:szCs w:val="24"/>
        </w:rPr>
        <w:t>Pinheiro and Mulle,  2008; Rozas et al., 2003; Schoep</w:t>
      </w:r>
      <w:r w:rsidR="009C0B9D" w:rsidRPr="00782D7B">
        <w:rPr>
          <w:rFonts w:ascii="Arial" w:eastAsia="Times New Roman" w:hAnsi="Arial" w:cs="Arial"/>
          <w:sz w:val="24"/>
          <w:szCs w:val="24"/>
        </w:rPr>
        <w:t>p</w:t>
      </w:r>
      <w:r w:rsidR="00277E38" w:rsidRPr="00782D7B">
        <w:rPr>
          <w:rFonts w:ascii="Arial" w:eastAsia="Times New Roman" w:hAnsi="Arial" w:cs="Arial"/>
          <w:sz w:val="24"/>
          <w:szCs w:val="24"/>
        </w:rPr>
        <w:t>, 2002)</w:t>
      </w:r>
      <w:r w:rsidR="009F01B9" w:rsidRPr="00782D7B">
        <w:rPr>
          <w:rFonts w:ascii="Arial" w:eastAsia="Times New Roman" w:hAnsi="Arial" w:cs="Arial"/>
          <w:sz w:val="24"/>
          <w:szCs w:val="24"/>
        </w:rPr>
        <w:t xml:space="preserve">; and it has been reported earlier that kainate blocked synaptic transmission at the </w:t>
      </w:r>
      <w:r w:rsidR="009F01B9" w:rsidRPr="00782D7B">
        <w:rPr>
          <w:rFonts w:ascii="Arial" w:eastAsia="Times New Roman" w:hAnsi="Arial" w:cs="Arial"/>
          <w:i/>
          <w:sz w:val="24"/>
          <w:szCs w:val="24"/>
        </w:rPr>
        <w:t>Drosophila</w:t>
      </w:r>
      <w:r w:rsidR="009F01B9" w:rsidRPr="00782D7B">
        <w:rPr>
          <w:rFonts w:ascii="Arial" w:eastAsia="Times New Roman" w:hAnsi="Arial" w:cs="Arial"/>
          <w:sz w:val="24"/>
          <w:szCs w:val="24"/>
        </w:rPr>
        <w:t xml:space="preserve"> NMJ</w:t>
      </w:r>
      <w:r w:rsidR="00FE38A9" w:rsidRPr="00782D7B">
        <w:rPr>
          <w:rFonts w:ascii="Arial" w:eastAsia="Times New Roman" w:hAnsi="Arial" w:cs="Arial"/>
          <w:sz w:val="24"/>
          <w:szCs w:val="24"/>
        </w:rPr>
        <w:t xml:space="preserve"> (Chang and Kidokoro, 1996; McLarnon and Quastel, 1988).</w:t>
      </w:r>
      <w:r w:rsidR="009F01B9" w:rsidRPr="00782D7B">
        <w:rPr>
          <w:rFonts w:ascii="Arial" w:eastAsia="Times New Roman" w:hAnsi="Arial" w:cs="Arial"/>
          <w:sz w:val="24"/>
          <w:szCs w:val="24"/>
        </w:rPr>
        <w:t xml:space="preserve"> </w:t>
      </w:r>
      <w:r w:rsidR="00FE38A9" w:rsidRPr="00782D7B">
        <w:rPr>
          <w:rFonts w:ascii="Arial" w:eastAsia="Times New Roman" w:hAnsi="Arial" w:cs="Arial"/>
          <w:sz w:val="24"/>
          <w:szCs w:val="24"/>
        </w:rPr>
        <w:t>H</w:t>
      </w:r>
      <w:r w:rsidR="009F01B9" w:rsidRPr="00782D7B">
        <w:rPr>
          <w:rFonts w:ascii="Arial" w:eastAsia="Times New Roman" w:hAnsi="Arial" w:cs="Arial"/>
          <w:sz w:val="24"/>
          <w:szCs w:val="24"/>
        </w:rPr>
        <w:t>owever</w:t>
      </w:r>
      <w:r w:rsidR="00FE38A9" w:rsidRPr="00782D7B">
        <w:rPr>
          <w:rFonts w:ascii="Arial" w:eastAsia="Times New Roman" w:hAnsi="Arial" w:cs="Arial"/>
          <w:sz w:val="24"/>
          <w:szCs w:val="24"/>
        </w:rPr>
        <w:t>,</w:t>
      </w:r>
      <w:r w:rsidR="009F01B9" w:rsidRPr="00782D7B">
        <w:rPr>
          <w:rFonts w:ascii="Arial" w:eastAsia="Times New Roman" w:hAnsi="Arial" w:cs="Arial"/>
          <w:sz w:val="24"/>
          <w:szCs w:val="24"/>
        </w:rPr>
        <w:t xml:space="preserve"> the earlier</w:t>
      </w:r>
      <w:r w:rsidR="00FE38A9" w:rsidRPr="00782D7B">
        <w:rPr>
          <w:rFonts w:ascii="Arial" w:eastAsia="Times New Roman" w:hAnsi="Arial" w:cs="Arial"/>
          <w:sz w:val="24"/>
          <w:szCs w:val="24"/>
        </w:rPr>
        <w:t xml:space="preserve"> studies with</w:t>
      </w:r>
      <w:r w:rsidR="009F01B9" w:rsidRPr="00782D7B">
        <w:rPr>
          <w:rFonts w:ascii="Arial" w:eastAsia="Times New Roman" w:hAnsi="Arial" w:cs="Arial"/>
          <w:sz w:val="24"/>
          <w:szCs w:val="24"/>
        </w:rPr>
        <w:t xml:space="preserve"> </w:t>
      </w:r>
      <w:r w:rsidR="00FE38A9" w:rsidRPr="00782D7B">
        <w:rPr>
          <w:rFonts w:ascii="Arial" w:eastAsia="Times New Roman" w:hAnsi="Arial" w:cs="Arial"/>
          <w:i/>
          <w:sz w:val="24"/>
          <w:szCs w:val="24"/>
        </w:rPr>
        <w:t>Drosophila</w:t>
      </w:r>
      <w:r w:rsidR="00FE38A9" w:rsidRPr="00782D7B">
        <w:rPr>
          <w:rFonts w:ascii="Arial" w:eastAsia="Times New Roman" w:hAnsi="Arial" w:cs="Arial"/>
          <w:sz w:val="24"/>
          <w:szCs w:val="24"/>
        </w:rPr>
        <w:t xml:space="preserve"> </w:t>
      </w:r>
      <w:r w:rsidR="009F01B9" w:rsidRPr="00782D7B">
        <w:rPr>
          <w:rFonts w:ascii="Arial" w:eastAsia="Times New Roman" w:hAnsi="Arial" w:cs="Arial"/>
          <w:sz w:val="24"/>
          <w:szCs w:val="24"/>
        </w:rPr>
        <w:t>di</w:t>
      </w:r>
      <w:r w:rsidR="00FE38A9" w:rsidRPr="00782D7B">
        <w:rPr>
          <w:rFonts w:ascii="Arial" w:eastAsia="Times New Roman" w:hAnsi="Arial" w:cs="Arial"/>
          <w:sz w:val="24"/>
          <w:szCs w:val="24"/>
        </w:rPr>
        <w:t>d</w:t>
      </w:r>
      <w:r w:rsidR="009F01B9" w:rsidRPr="00782D7B">
        <w:rPr>
          <w:rFonts w:ascii="Arial" w:eastAsia="Times New Roman" w:hAnsi="Arial" w:cs="Arial"/>
          <w:sz w:val="24"/>
          <w:szCs w:val="24"/>
        </w:rPr>
        <w:t xml:space="preserve"> use </w:t>
      </w:r>
      <w:r w:rsidR="00FE38A9" w:rsidRPr="00782D7B">
        <w:rPr>
          <w:rFonts w:ascii="Arial" w:eastAsia="Times New Roman" w:hAnsi="Arial" w:cs="Arial"/>
          <w:sz w:val="24"/>
          <w:szCs w:val="24"/>
        </w:rPr>
        <w:t xml:space="preserve">Schneider’s </w:t>
      </w:r>
      <w:r w:rsidR="00FE38A9" w:rsidRPr="00782D7B">
        <w:rPr>
          <w:rFonts w:ascii="Arial" w:eastAsia="Times New Roman" w:hAnsi="Arial" w:cs="Arial"/>
          <w:i/>
          <w:sz w:val="24"/>
          <w:szCs w:val="24"/>
        </w:rPr>
        <w:t>Drosophila</w:t>
      </w:r>
      <w:r w:rsidR="00FE38A9" w:rsidRPr="00782D7B">
        <w:rPr>
          <w:rFonts w:ascii="Arial" w:eastAsia="Times New Roman" w:hAnsi="Arial" w:cs="Arial"/>
          <w:sz w:val="24"/>
          <w:szCs w:val="24"/>
        </w:rPr>
        <w:t xml:space="preserve"> medium which is known to have a depressing action on synaptic transmission itself (Ball et al., </w:t>
      </w:r>
      <w:r w:rsidR="00CD4E1A" w:rsidRPr="00782D7B">
        <w:rPr>
          <w:rFonts w:ascii="Arial" w:eastAsia="Times New Roman" w:hAnsi="Arial" w:cs="Arial"/>
          <w:sz w:val="24"/>
          <w:szCs w:val="24"/>
        </w:rPr>
        <w:t>2003; Stewart et al., 1994</w:t>
      </w:r>
      <w:r w:rsidR="00FE38A9" w:rsidRPr="00782D7B">
        <w:rPr>
          <w:rFonts w:ascii="Arial" w:eastAsia="Times New Roman" w:hAnsi="Arial" w:cs="Arial"/>
          <w:sz w:val="24"/>
          <w:szCs w:val="24"/>
        </w:rPr>
        <w:t>).</w:t>
      </w:r>
      <w:r w:rsidR="00B976A7">
        <w:rPr>
          <w:rFonts w:ascii="Arial" w:eastAsia="Times New Roman" w:hAnsi="Arial" w:cs="Arial"/>
          <w:sz w:val="24"/>
          <w:szCs w:val="24"/>
        </w:rPr>
        <w:t xml:space="preserve"> The reduction in EPSPs as shown for the negative control illustrates the need for effects of saline to be compared to the experimental manipulations. The small rundown in the EPSP amplitudes is less of a problem with HL3 as compared to </w:t>
      </w:r>
      <w:r w:rsidR="00B976A7" w:rsidRPr="00782D7B">
        <w:rPr>
          <w:rFonts w:ascii="Arial" w:eastAsia="Times New Roman" w:hAnsi="Arial" w:cs="Arial"/>
          <w:sz w:val="24"/>
          <w:szCs w:val="24"/>
        </w:rPr>
        <w:t xml:space="preserve">Schneider’s </w:t>
      </w:r>
      <w:r w:rsidR="00B976A7" w:rsidRPr="00782D7B">
        <w:rPr>
          <w:rFonts w:ascii="Arial" w:eastAsia="Times New Roman" w:hAnsi="Arial" w:cs="Arial"/>
          <w:i/>
          <w:sz w:val="24"/>
          <w:szCs w:val="24"/>
        </w:rPr>
        <w:t>Drosophila</w:t>
      </w:r>
      <w:r w:rsidR="00B976A7" w:rsidRPr="00782D7B">
        <w:rPr>
          <w:rFonts w:ascii="Arial" w:eastAsia="Times New Roman" w:hAnsi="Arial" w:cs="Arial"/>
          <w:sz w:val="24"/>
          <w:szCs w:val="24"/>
        </w:rPr>
        <w:t xml:space="preserve"> medium (Ball et al., 2003; Stewart et al., 1994).</w:t>
      </w:r>
      <w:r w:rsidR="00B976A7">
        <w:rPr>
          <w:rFonts w:ascii="Arial" w:eastAsia="Times New Roman" w:hAnsi="Arial" w:cs="Arial"/>
          <w:sz w:val="24"/>
          <w:szCs w:val="24"/>
        </w:rPr>
        <w:t xml:space="preserve"> </w:t>
      </w:r>
      <w:r w:rsidR="00A17CA3">
        <w:rPr>
          <w:rFonts w:ascii="Arial" w:eastAsia="Times New Roman" w:hAnsi="Arial" w:cs="Arial"/>
          <w:sz w:val="24"/>
          <w:szCs w:val="24"/>
        </w:rPr>
        <w:t>It is likely that HL3 is not an optimal</w:t>
      </w:r>
      <w:r w:rsidR="000D0A2C">
        <w:rPr>
          <w:rFonts w:ascii="Arial" w:eastAsia="Times New Roman" w:hAnsi="Arial" w:cs="Arial"/>
          <w:sz w:val="24"/>
          <w:szCs w:val="24"/>
        </w:rPr>
        <w:t>ly</w:t>
      </w:r>
      <w:r w:rsidR="00A17CA3">
        <w:rPr>
          <w:rFonts w:ascii="Arial" w:eastAsia="Times New Roman" w:hAnsi="Arial" w:cs="Arial"/>
          <w:sz w:val="24"/>
          <w:szCs w:val="24"/>
        </w:rPr>
        <w:t xml:space="preserve"> suited saline for muscle maintenance and that the nerve membrane becomes leaky as we did not observe </w:t>
      </w:r>
      <w:r w:rsidR="009A3200">
        <w:rPr>
          <w:rFonts w:ascii="Arial" w:eastAsia="Times New Roman" w:hAnsi="Arial" w:cs="Arial"/>
          <w:sz w:val="24"/>
          <w:szCs w:val="24"/>
        </w:rPr>
        <w:t xml:space="preserve">depolarization in the </w:t>
      </w:r>
      <w:r w:rsidR="00A17CA3">
        <w:rPr>
          <w:rFonts w:ascii="Arial" w:eastAsia="Times New Roman" w:hAnsi="Arial" w:cs="Arial"/>
          <w:sz w:val="24"/>
          <w:szCs w:val="24"/>
        </w:rPr>
        <w:t xml:space="preserve">muscle but a reduced </w:t>
      </w:r>
      <w:r w:rsidR="009A3200">
        <w:rPr>
          <w:rFonts w:ascii="Arial" w:eastAsia="Times New Roman" w:hAnsi="Arial" w:cs="Arial"/>
          <w:sz w:val="24"/>
          <w:szCs w:val="24"/>
        </w:rPr>
        <w:t xml:space="preserve">evoked </w:t>
      </w:r>
      <w:r w:rsidR="00A17CA3">
        <w:rPr>
          <w:rFonts w:ascii="Arial" w:eastAsia="Times New Roman" w:hAnsi="Arial" w:cs="Arial"/>
          <w:sz w:val="24"/>
          <w:szCs w:val="24"/>
        </w:rPr>
        <w:t xml:space="preserve">response. Thus, </w:t>
      </w:r>
      <w:r w:rsidR="00A17CA3">
        <w:rPr>
          <w:rFonts w:ascii="Arial" w:eastAsia="Times New Roman" w:hAnsi="Arial" w:cs="Arial"/>
          <w:sz w:val="24"/>
          <w:szCs w:val="24"/>
        </w:rPr>
        <w:lastRenderedPageBreak/>
        <w:t xml:space="preserve">there could be reduced transmitter release or reduced sensitivity postsynaptically over time. Since the distribution in amplitude of spontaneous events dose not shift  </w:t>
      </w:r>
      <w:r w:rsidR="009A3200">
        <w:rPr>
          <w:rFonts w:ascii="Arial" w:eastAsia="Times New Roman" w:hAnsi="Arial" w:cs="Arial"/>
          <w:sz w:val="24"/>
          <w:szCs w:val="24"/>
        </w:rPr>
        <w:t xml:space="preserve">it is likely the </w:t>
      </w:r>
      <w:r w:rsidR="000D0A2C">
        <w:rPr>
          <w:rFonts w:ascii="Arial" w:eastAsia="Times New Roman" w:hAnsi="Arial" w:cs="Arial"/>
          <w:sz w:val="24"/>
          <w:szCs w:val="24"/>
        </w:rPr>
        <w:t xml:space="preserve">the saline </w:t>
      </w:r>
      <w:r w:rsidR="009A3200">
        <w:rPr>
          <w:rFonts w:ascii="Arial" w:eastAsia="Times New Roman" w:hAnsi="Arial" w:cs="Arial"/>
          <w:sz w:val="24"/>
          <w:szCs w:val="24"/>
        </w:rPr>
        <w:t xml:space="preserve">effect is presynaptic. </w:t>
      </w:r>
      <w:r w:rsidR="00730CDB">
        <w:rPr>
          <w:rFonts w:ascii="Arial" w:eastAsia="Times New Roman" w:hAnsi="Arial" w:cs="Arial"/>
          <w:sz w:val="24"/>
          <w:szCs w:val="24"/>
        </w:rPr>
        <w:t>The time dependent effect in the negative control was compared to the experimental responses for examining the realistic effects</w:t>
      </w:r>
      <w:r w:rsidR="00F7174E">
        <w:rPr>
          <w:rFonts w:ascii="Arial" w:eastAsia="Times New Roman" w:hAnsi="Arial" w:cs="Arial"/>
          <w:sz w:val="24"/>
          <w:szCs w:val="24"/>
        </w:rPr>
        <w:t xml:space="preserve"> </w:t>
      </w:r>
      <w:r w:rsidR="000D0A2C">
        <w:rPr>
          <w:rFonts w:ascii="Arial" w:eastAsia="Times New Roman" w:hAnsi="Arial" w:cs="Arial"/>
          <w:sz w:val="24"/>
          <w:szCs w:val="24"/>
        </w:rPr>
        <w:t xml:space="preserve">of pharmacological agents </w:t>
      </w:r>
      <w:r w:rsidR="00F7174E">
        <w:rPr>
          <w:rFonts w:ascii="Arial" w:eastAsia="Times New Roman" w:hAnsi="Arial" w:cs="Arial"/>
          <w:sz w:val="24"/>
          <w:szCs w:val="24"/>
        </w:rPr>
        <w:t xml:space="preserve">in these studies but one rarely </w:t>
      </w:r>
      <w:r w:rsidR="000D0A2C">
        <w:rPr>
          <w:rFonts w:ascii="Arial" w:eastAsia="Times New Roman" w:hAnsi="Arial" w:cs="Arial"/>
          <w:sz w:val="24"/>
          <w:szCs w:val="24"/>
        </w:rPr>
        <w:t>notes negative controls</w:t>
      </w:r>
      <w:r w:rsidR="00F7174E">
        <w:rPr>
          <w:rFonts w:ascii="Arial" w:eastAsia="Times New Roman" w:hAnsi="Arial" w:cs="Arial"/>
          <w:sz w:val="24"/>
          <w:szCs w:val="24"/>
        </w:rPr>
        <w:t xml:space="preserve"> in other studies </w:t>
      </w:r>
      <w:r w:rsidR="00BC316B">
        <w:rPr>
          <w:rFonts w:ascii="Arial" w:eastAsia="Times New Roman" w:hAnsi="Arial" w:cs="Arial"/>
          <w:sz w:val="24"/>
          <w:szCs w:val="24"/>
        </w:rPr>
        <w:t>with</w:t>
      </w:r>
      <w:r w:rsidR="00F7174E">
        <w:rPr>
          <w:rFonts w:ascii="Arial" w:eastAsia="Times New Roman" w:hAnsi="Arial" w:cs="Arial"/>
          <w:sz w:val="24"/>
          <w:szCs w:val="24"/>
        </w:rPr>
        <w:t xml:space="preserve"> this preparation</w:t>
      </w:r>
      <w:r w:rsidR="00730CDB">
        <w:rPr>
          <w:rFonts w:ascii="Arial" w:eastAsia="Times New Roman" w:hAnsi="Arial" w:cs="Arial"/>
          <w:sz w:val="24"/>
          <w:szCs w:val="24"/>
        </w:rPr>
        <w:t xml:space="preserve">. </w:t>
      </w:r>
      <w:r w:rsidR="00FE38A9" w:rsidRPr="00782D7B">
        <w:rPr>
          <w:rFonts w:ascii="Arial" w:eastAsia="Times New Roman" w:hAnsi="Arial" w:cs="Arial"/>
          <w:sz w:val="24"/>
          <w:szCs w:val="24"/>
        </w:rPr>
        <w:t>Mechanistically we do not know how kainate is blocking transmission, but it appears likely that kain</w:t>
      </w:r>
      <w:r w:rsidR="00CD4E1A" w:rsidRPr="00782D7B">
        <w:rPr>
          <w:rFonts w:ascii="Arial" w:eastAsia="Times New Roman" w:hAnsi="Arial" w:cs="Arial"/>
          <w:sz w:val="24"/>
          <w:szCs w:val="24"/>
        </w:rPr>
        <w:t>a</w:t>
      </w:r>
      <w:r w:rsidR="00FE38A9" w:rsidRPr="00782D7B">
        <w:rPr>
          <w:rFonts w:ascii="Arial" w:eastAsia="Times New Roman" w:hAnsi="Arial" w:cs="Arial"/>
          <w:sz w:val="24"/>
          <w:szCs w:val="24"/>
        </w:rPr>
        <w:t>te acts as an antagonist in this preparation. Possibl</w:t>
      </w:r>
      <w:r w:rsidR="00D01D0A">
        <w:rPr>
          <w:rFonts w:ascii="Arial" w:eastAsia="Times New Roman" w:hAnsi="Arial" w:cs="Arial"/>
          <w:sz w:val="24"/>
          <w:szCs w:val="24"/>
        </w:rPr>
        <w:t>y</w:t>
      </w:r>
      <w:r w:rsidR="00FE38A9" w:rsidRPr="00782D7B">
        <w:rPr>
          <w:rFonts w:ascii="Arial" w:eastAsia="Times New Roman" w:hAnsi="Arial" w:cs="Arial"/>
          <w:sz w:val="24"/>
          <w:szCs w:val="24"/>
        </w:rPr>
        <w:t xml:space="preserve"> kainate could act on the receptor to desensitize it to </w:t>
      </w:r>
      <w:r w:rsidR="009553FD" w:rsidRPr="00782D7B">
        <w:rPr>
          <w:rFonts w:ascii="Arial" w:eastAsia="Times New Roman" w:hAnsi="Arial" w:cs="Arial"/>
          <w:sz w:val="24"/>
          <w:szCs w:val="24"/>
        </w:rPr>
        <w:t>glutamate</w:t>
      </w:r>
      <w:r w:rsidR="00782D7B" w:rsidRPr="00782D7B">
        <w:rPr>
          <w:rFonts w:ascii="Arial" w:eastAsia="Times New Roman" w:hAnsi="Arial" w:cs="Arial"/>
          <w:sz w:val="24"/>
          <w:szCs w:val="24"/>
        </w:rPr>
        <w:t xml:space="preserve"> or in addition act as a non-competitive antagonist</w:t>
      </w:r>
      <w:r w:rsidR="00CD4E1A" w:rsidRPr="00782D7B">
        <w:rPr>
          <w:rFonts w:ascii="Arial" w:eastAsia="Times New Roman" w:hAnsi="Arial" w:cs="Arial"/>
          <w:sz w:val="24"/>
          <w:szCs w:val="24"/>
        </w:rPr>
        <w:t>.</w:t>
      </w:r>
      <w:r w:rsidR="009553FD" w:rsidRPr="00782D7B">
        <w:rPr>
          <w:rFonts w:ascii="Arial" w:eastAsia="Times New Roman" w:hAnsi="Arial" w:cs="Arial"/>
          <w:sz w:val="24"/>
          <w:szCs w:val="24"/>
        </w:rPr>
        <w:t xml:space="preserve"> </w:t>
      </w:r>
      <w:r w:rsidR="00D01D0A">
        <w:rPr>
          <w:rFonts w:ascii="ArialMT" w:hAnsi="ArialMT" w:cs="ArialMT"/>
          <w:sz w:val="24"/>
        </w:rPr>
        <w:t>Quisqualate receptors, as well as other glutamate receptors (Sun et al., 2002), are known</w:t>
      </w:r>
      <w:r w:rsidR="00D01D0A" w:rsidRPr="00782D7B">
        <w:rPr>
          <w:rFonts w:ascii="Arial" w:eastAsia="Times New Roman" w:hAnsi="Arial" w:cs="Arial"/>
          <w:sz w:val="24"/>
          <w:szCs w:val="24"/>
        </w:rPr>
        <w:t xml:space="preserve"> </w:t>
      </w:r>
      <w:r w:rsidR="009553FD" w:rsidRPr="00782D7B">
        <w:rPr>
          <w:rFonts w:ascii="Arial" w:eastAsia="Times New Roman" w:hAnsi="Arial" w:cs="Arial"/>
          <w:sz w:val="24"/>
          <w:szCs w:val="24"/>
        </w:rPr>
        <w:t xml:space="preserve">to be prone to desensitization at the crayfish NMJ (Tour et al., 2000) as well as other glutamate receptors (Sun et al., 2002). </w:t>
      </w:r>
    </w:p>
    <w:p w:rsidR="00811642" w:rsidRPr="00782D7B" w:rsidRDefault="00850549" w:rsidP="008E4CBF">
      <w:pPr>
        <w:tabs>
          <w:tab w:val="left" w:pos="-1440"/>
        </w:tabs>
        <w:spacing w:line="480" w:lineRule="auto"/>
        <w:jc w:val="both"/>
        <w:rPr>
          <w:rFonts w:ascii="Arial" w:eastAsia="Times New Roman" w:hAnsi="Arial" w:cs="Arial"/>
          <w:sz w:val="24"/>
          <w:szCs w:val="24"/>
        </w:rPr>
      </w:pPr>
      <w:r w:rsidRPr="00782D7B">
        <w:rPr>
          <w:rFonts w:ascii="Arial" w:eastAsia="Times New Roman" w:hAnsi="Arial" w:cs="Arial"/>
          <w:sz w:val="24"/>
          <w:szCs w:val="24"/>
        </w:rPr>
        <w:tab/>
        <w:t xml:space="preserve">The results with kainate and the two concentrations of bathing </w:t>
      </w:r>
      <w:r w:rsidRPr="00782D7B">
        <w:rPr>
          <w:rFonts w:ascii="Arial" w:hAnsi="Arial" w:cs="Arial"/>
          <w:sz w:val="24"/>
          <w:szCs w:val="24"/>
        </w:rPr>
        <w:t>[Ca</w:t>
      </w:r>
      <w:r w:rsidRPr="00782D7B">
        <w:rPr>
          <w:rFonts w:ascii="Arial" w:hAnsi="Arial" w:cs="Arial"/>
          <w:sz w:val="24"/>
          <w:szCs w:val="24"/>
          <w:vertAlign w:val="superscript"/>
        </w:rPr>
        <w:t>2+</w:t>
      </w:r>
      <w:r w:rsidRPr="00782D7B">
        <w:rPr>
          <w:rFonts w:ascii="Arial" w:hAnsi="Arial" w:cs="Arial"/>
          <w:sz w:val="24"/>
          <w:szCs w:val="24"/>
        </w:rPr>
        <w:t>]</w:t>
      </w:r>
      <w:r w:rsidRPr="00782D7B">
        <w:rPr>
          <w:rFonts w:ascii="Arial" w:hAnsi="Arial" w:cs="Arial"/>
          <w:sz w:val="24"/>
          <w:szCs w:val="24"/>
          <w:vertAlign w:val="subscript"/>
        </w:rPr>
        <w:t>o</w:t>
      </w:r>
      <w:r w:rsidRPr="00782D7B">
        <w:rPr>
          <w:rFonts w:ascii="Arial" w:hAnsi="Arial" w:cs="Arial"/>
          <w:sz w:val="24"/>
          <w:szCs w:val="24"/>
        </w:rPr>
        <w:t xml:space="preserve"> is interesting since only the one condition </w:t>
      </w:r>
      <w:r w:rsidR="00D01D0A">
        <w:rPr>
          <w:rFonts w:ascii="Arial" w:hAnsi="Arial" w:cs="Arial"/>
          <w:sz w:val="24"/>
          <w:szCs w:val="24"/>
        </w:rPr>
        <w:t>(</w:t>
      </w:r>
      <w:r w:rsidRPr="00782D7B">
        <w:rPr>
          <w:rFonts w:ascii="Arial" w:hAnsi="Arial" w:cs="Arial"/>
          <w:sz w:val="24"/>
          <w:szCs w:val="24"/>
        </w:rPr>
        <w:t>1mM kainate and 1mM [Ca</w:t>
      </w:r>
      <w:r w:rsidRPr="00782D7B">
        <w:rPr>
          <w:rFonts w:ascii="Arial" w:hAnsi="Arial" w:cs="Arial"/>
          <w:sz w:val="24"/>
          <w:szCs w:val="24"/>
          <w:vertAlign w:val="superscript"/>
        </w:rPr>
        <w:t>2+</w:t>
      </w:r>
      <w:r w:rsidRPr="00782D7B">
        <w:rPr>
          <w:rFonts w:ascii="Arial" w:hAnsi="Arial" w:cs="Arial"/>
          <w:sz w:val="24"/>
          <w:szCs w:val="24"/>
        </w:rPr>
        <w:t>]</w:t>
      </w:r>
      <w:r w:rsidRPr="00782D7B">
        <w:rPr>
          <w:rFonts w:ascii="Arial" w:hAnsi="Arial" w:cs="Arial"/>
          <w:sz w:val="24"/>
          <w:szCs w:val="24"/>
          <w:vertAlign w:val="subscript"/>
        </w:rPr>
        <w:t>o</w:t>
      </w:r>
      <w:r w:rsidR="00D01D0A">
        <w:rPr>
          <w:rFonts w:ascii="Arial" w:eastAsia="Times New Roman" w:hAnsi="Arial" w:cs="Arial"/>
          <w:sz w:val="24"/>
          <w:szCs w:val="24"/>
        </w:rPr>
        <w:t xml:space="preserve">) </w:t>
      </w:r>
      <w:r w:rsidRPr="00782D7B">
        <w:rPr>
          <w:rFonts w:ascii="Arial" w:eastAsia="Times New Roman" w:hAnsi="Arial" w:cs="Arial"/>
          <w:sz w:val="24"/>
          <w:szCs w:val="24"/>
        </w:rPr>
        <w:t>produced a significant trend (</w:t>
      </w:r>
      <w:r w:rsidRPr="00782D7B">
        <w:rPr>
          <w:rFonts w:ascii="Arial" w:eastAsia="Times New Roman" w:hAnsi="Arial" w:cs="Arial"/>
          <w:b/>
          <w:sz w:val="24"/>
          <w:szCs w:val="24"/>
        </w:rPr>
        <w:t xml:space="preserve">Figure </w:t>
      </w:r>
      <w:r w:rsidR="000129F5">
        <w:rPr>
          <w:rFonts w:ascii="Arial" w:eastAsia="Times New Roman" w:hAnsi="Arial" w:cs="Arial"/>
          <w:b/>
          <w:sz w:val="24"/>
          <w:szCs w:val="24"/>
        </w:rPr>
        <w:t>8</w:t>
      </w:r>
      <w:r w:rsidRPr="00782D7B">
        <w:rPr>
          <w:rFonts w:ascii="Arial" w:eastAsia="Times New Roman" w:hAnsi="Arial" w:cs="Arial"/>
          <w:sz w:val="24"/>
          <w:szCs w:val="24"/>
        </w:rPr>
        <w:t xml:space="preserve">). As stated earlier the increase in median values is small in some </w:t>
      </w:r>
      <w:r w:rsidR="00811642" w:rsidRPr="00782D7B">
        <w:rPr>
          <w:rFonts w:ascii="Arial" w:eastAsia="Times New Roman" w:hAnsi="Arial" w:cs="Arial"/>
          <w:sz w:val="24"/>
          <w:szCs w:val="24"/>
        </w:rPr>
        <w:t>preparations</w:t>
      </w:r>
      <w:r w:rsidR="00D01D0A">
        <w:rPr>
          <w:rFonts w:ascii="Arial" w:eastAsia="Times New Roman" w:hAnsi="Arial" w:cs="Arial"/>
          <w:sz w:val="24"/>
          <w:szCs w:val="24"/>
        </w:rPr>
        <w:t>,</w:t>
      </w:r>
      <w:r w:rsidRPr="00782D7B">
        <w:rPr>
          <w:rFonts w:ascii="Arial" w:eastAsia="Times New Roman" w:hAnsi="Arial" w:cs="Arial"/>
          <w:sz w:val="24"/>
          <w:szCs w:val="24"/>
        </w:rPr>
        <w:t xml:space="preserve"> so we are cautious in bearing too much </w:t>
      </w:r>
      <w:r w:rsidR="00811642" w:rsidRPr="00782D7B">
        <w:rPr>
          <w:rFonts w:ascii="Arial" w:eastAsia="Times New Roman" w:hAnsi="Arial" w:cs="Arial"/>
          <w:sz w:val="24"/>
          <w:szCs w:val="24"/>
        </w:rPr>
        <w:t>emphasis</w:t>
      </w:r>
      <w:r w:rsidRPr="00782D7B">
        <w:rPr>
          <w:rFonts w:ascii="Arial" w:eastAsia="Times New Roman" w:hAnsi="Arial" w:cs="Arial"/>
          <w:sz w:val="24"/>
          <w:szCs w:val="24"/>
        </w:rPr>
        <w:t xml:space="preserve"> on this result; however, the increase in </w:t>
      </w:r>
      <w:r w:rsidR="00811642" w:rsidRPr="00782D7B">
        <w:rPr>
          <w:rFonts w:ascii="Arial" w:eastAsia="Times New Roman" w:hAnsi="Arial" w:cs="Arial"/>
          <w:sz w:val="24"/>
          <w:szCs w:val="24"/>
        </w:rPr>
        <w:t>variability</w:t>
      </w:r>
      <w:r w:rsidRPr="00782D7B">
        <w:rPr>
          <w:rFonts w:ascii="Arial" w:eastAsia="Times New Roman" w:hAnsi="Arial" w:cs="Arial"/>
          <w:sz w:val="24"/>
          <w:szCs w:val="24"/>
        </w:rPr>
        <w:t xml:space="preserve"> when exposed to kainate is of interest. If kainate is acting as a </w:t>
      </w:r>
      <w:r w:rsidR="00811642" w:rsidRPr="00782D7B">
        <w:rPr>
          <w:rFonts w:ascii="Arial" w:eastAsia="Times New Roman" w:hAnsi="Arial" w:cs="Arial"/>
          <w:sz w:val="24"/>
          <w:szCs w:val="24"/>
        </w:rPr>
        <w:t>competitive</w:t>
      </w:r>
      <w:r w:rsidRPr="00782D7B">
        <w:rPr>
          <w:rFonts w:ascii="Arial" w:eastAsia="Times New Roman" w:hAnsi="Arial" w:cs="Arial"/>
          <w:sz w:val="24"/>
          <w:szCs w:val="24"/>
        </w:rPr>
        <w:t xml:space="preserve"> </w:t>
      </w:r>
      <w:r w:rsidR="00811642" w:rsidRPr="00782D7B">
        <w:rPr>
          <w:rFonts w:ascii="Arial" w:eastAsia="Times New Roman" w:hAnsi="Arial" w:cs="Arial"/>
          <w:sz w:val="24"/>
          <w:szCs w:val="24"/>
        </w:rPr>
        <w:t>antagonist</w:t>
      </w:r>
      <w:r w:rsidRPr="00782D7B">
        <w:rPr>
          <w:rFonts w:ascii="Arial" w:eastAsia="Times New Roman" w:hAnsi="Arial" w:cs="Arial"/>
          <w:sz w:val="24"/>
          <w:szCs w:val="24"/>
        </w:rPr>
        <w:t xml:space="preserve"> then it is </w:t>
      </w:r>
      <w:r w:rsidR="00811642" w:rsidRPr="00782D7B">
        <w:rPr>
          <w:rFonts w:ascii="Arial" w:eastAsia="Times New Roman" w:hAnsi="Arial" w:cs="Arial"/>
          <w:sz w:val="24"/>
          <w:szCs w:val="24"/>
        </w:rPr>
        <w:t>feasible</w:t>
      </w:r>
      <w:r w:rsidRPr="00782D7B">
        <w:rPr>
          <w:rFonts w:ascii="Arial" w:eastAsia="Times New Roman" w:hAnsi="Arial" w:cs="Arial"/>
          <w:sz w:val="24"/>
          <w:szCs w:val="24"/>
        </w:rPr>
        <w:t xml:space="preserve"> to </w:t>
      </w:r>
      <w:r w:rsidR="00811642" w:rsidRPr="00782D7B">
        <w:rPr>
          <w:rFonts w:ascii="Arial" w:eastAsia="Times New Roman" w:hAnsi="Arial" w:cs="Arial"/>
          <w:sz w:val="24"/>
          <w:szCs w:val="24"/>
        </w:rPr>
        <w:t>speculate</w:t>
      </w:r>
      <w:r w:rsidRPr="00782D7B">
        <w:rPr>
          <w:rFonts w:ascii="Arial" w:eastAsia="Times New Roman" w:hAnsi="Arial" w:cs="Arial"/>
          <w:sz w:val="24"/>
          <w:szCs w:val="24"/>
        </w:rPr>
        <w:t xml:space="preserve"> with each pulse in the stimulus train the glutamate is resulting in a greater displacement of the kainate and </w:t>
      </w:r>
      <w:r w:rsidR="00811642" w:rsidRPr="00782D7B">
        <w:rPr>
          <w:rFonts w:ascii="Arial" w:eastAsia="Times New Roman" w:hAnsi="Arial" w:cs="Arial"/>
          <w:sz w:val="24"/>
          <w:szCs w:val="24"/>
        </w:rPr>
        <w:t>possibly</w:t>
      </w:r>
      <w:r w:rsidRPr="00782D7B">
        <w:rPr>
          <w:rFonts w:ascii="Arial" w:eastAsia="Times New Roman" w:hAnsi="Arial" w:cs="Arial"/>
          <w:sz w:val="24"/>
          <w:szCs w:val="24"/>
        </w:rPr>
        <w:t xml:space="preserve"> resulting in more </w:t>
      </w:r>
      <w:r w:rsidR="006A2E97" w:rsidRPr="00782D7B">
        <w:rPr>
          <w:rFonts w:ascii="Arial" w:eastAsia="Times New Roman" w:hAnsi="Arial" w:cs="Arial"/>
          <w:sz w:val="24"/>
          <w:szCs w:val="24"/>
        </w:rPr>
        <w:t>competitive</w:t>
      </w:r>
      <w:r w:rsidR="00AA75F5" w:rsidRPr="00782D7B">
        <w:rPr>
          <w:rFonts w:ascii="Arial" w:eastAsia="Times New Roman" w:hAnsi="Arial" w:cs="Arial"/>
          <w:sz w:val="24"/>
          <w:szCs w:val="24"/>
        </w:rPr>
        <w:t>-</w:t>
      </w:r>
      <w:r w:rsidR="00811642" w:rsidRPr="00782D7B">
        <w:rPr>
          <w:rFonts w:ascii="Arial" w:eastAsia="Times New Roman" w:hAnsi="Arial" w:cs="Arial"/>
          <w:sz w:val="24"/>
          <w:szCs w:val="24"/>
        </w:rPr>
        <w:t>competition</w:t>
      </w:r>
      <w:r w:rsidRPr="00782D7B">
        <w:rPr>
          <w:rFonts w:ascii="Arial" w:eastAsia="Times New Roman" w:hAnsi="Arial" w:cs="Arial"/>
          <w:sz w:val="24"/>
          <w:szCs w:val="24"/>
        </w:rPr>
        <w:t>. As the glutamate is being taken back up in the nerve terminal</w:t>
      </w:r>
      <w:r w:rsidR="00811642" w:rsidRPr="00782D7B">
        <w:rPr>
          <w:rFonts w:ascii="Arial" w:eastAsia="Times New Roman" w:hAnsi="Arial" w:cs="Arial"/>
          <w:sz w:val="24"/>
          <w:szCs w:val="24"/>
        </w:rPr>
        <w:t xml:space="preserve"> by the glutamate transporters,</w:t>
      </w:r>
      <w:r w:rsidRPr="00782D7B">
        <w:rPr>
          <w:rFonts w:ascii="Arial" w:eastAsia="Times New Roman" w:hAnsi="Arial" w:cs="Arial"/>
          <w:sz w:val="24"/>
          <w:szCs w:val="24"/>
        </w:rPr>
        <w:t xml:space="preserve"> kainate’s action</w:t>
      </w:r>
      <w:r w:rsidR="00811642" w:rsidRPr="00782D7B">
        <w:rPr>
          <w:rFonts w:ascii="Arial" w:eastAsia="Times New Roman" w:hAnsi="Arial" w:cs="Arial"/>
          <w:sz w:val="24"/>
          <w:szCs w:val="24"/>
        </w:rPr>
        <w:t xml:space="preserve"> can</w:t>
      </w:r>
      <w:r w:rsidRPr="00782D7B">
        <w:rPr>
          <w:rFonts w:ascii="Arial" w:eastAsia="Times New Roman" w:hAnsi="Arial" w:cs="Arial"/>
          <w:sz w:val="24"/>
          <w:szCs w:val="24"/>
        </w:rPr>
        <w:t xml:space="preserve"> </w:t>
      </w:r>
      <w:r w:rsidR="00811642" w:rsidRPr="00782D7B">
        <w:rPr>
          <w:rFonts w:ascii="Arial" w:eastAsia="Times New Roman" w:hAnsi="Arial" w:cs="Arial"/>
          <w:sz w:val="24"/>
          <w:szCs w:val="24"/>
        </w:rPr>
        <w:t>dominate</w:t>
      </w:r>
      <w:r w:rsidRPr="00782D7B">
        <w:rPr>
          <w:rFonts w:ascii="Arial" w:eastAsia="Times New Roman" w:hAnsi="Arial" w:cs="Arial"/>
          <w:sz w:val="24"/>
          <w:szCs w:val="24"/>
        </w:rPr>
        <w:t xml:space="preserve"> producing very </w:t>
      </w:r>
      <w:r w:rsidR="00811642" w:rsidRPr="00782D7B">
        <w:rPr>
          <w:rFonts w:ascii="Arial" w:eastAsia="Times New Roman" w:hAnsi="Arial" w:cs="Arial"/>
          <w:sz w:val="24"/>
          <w:szCs w:val="24"/>
        </w:rPr>
        <w:t>variable</w:t>
      </w:r>
      <w:r w:rsidRPr="00782D7B">
        <w:rPr>
          <w:rFonts w:ascii="Arial" w:eastAsia="Times New Roman" w:hAnsi="Arial" w:cs="Arial"/>
          <w:sz w:val="24"/>
          <w:szCs w:val="24"/>
        </w:rPr>
        <w:t xml:space="preserve"> response</w:t>
      </w:r>
      <w:r w:rsidR="00AA75F5" w:rsidRPr="00782D7B">
        <w:rPr>
          <w:rFonts w:ascii="Arial" w:eastAsia="Times New Roman" w:hAnsi="Arial" w:cs="Arial"/>
          <w:sz w:val="24"/>
          <w:szCs w:val="24"/>
        </w:rPr>
        <w:t>s</w:t>
      </w:r>
      <w:r w:rsidRPr="00782D7B">
        <w:rPr>
          <w:rFonts w:ascii="Arial" w:eastAsia="Times New Roman" w:hAnsi="Arial" w:cs="Arial"/>
          <w:sz w:val="24"/>
          <w:szCs w:val="24"/>
        </w:rPr>
        <w:t xml:space="preserve"> on the amplitudes of the EPSPs throughout the four pulse train. Considering </w:t>
      </w:r>
      <w:r w:rsidR="00811642" w:rsidRPr="00782D7B">
        <w:rPr>
          <w:rFonts w:ascii="Arial" w:eastAsia="Times New Roman" w:hAnsi="Arial" w:cs="Arial"/>
          <w:sz w:val="24"/>
          <w:szCs w:val="24"/>
        </w:rPr>
        <w:t>when saline is exchanged for saline containing</w:t>
      </w:r>
      <w:r w:rsidRPr="00782D7B">
        <w:rPr>
          <w:rFonts w:ascii="Arial" w:eastAsia="Times New Roman" w:hAnsi="Arial" w:cs="Arial"/>
          <w:sz w:val="24"/>
          <w:szCs w:val="24"/>
        </w:rPr>
        <w:t xml:space="preserve"> </w:t>
      </w:r>
      <w:r w:rsidR="00811642" w:rsidRPr="00782D7B">
        <w:rPr>
          <w:rFonts w:ascii="Arial" w:eastAsia="Times New Roman" w:hAnsi="Arial" w:cs="Arial"/>
          <w:sz w:val="24"/>
          <w:szCs w:val="24"/>
        </w:rPr>
        <w:t>kainate, the 1</w:t>
      </w:r>
      <w:r w:rsidR="00811642" w:rsidRPr="00782D7B">
        <w:rPr>
          <w:rFonts w:ascii="Arial" w:eastAsia="Times New Roman" w:hAnsi="Arial" w:cs="Arial"/>
          <w:sz w:val="24"/>
          <w:szCs w:val="24"/>
          <w:vertAlign w:val="superscript"/>
        </w:rPr>
        <w:t>st</w:t>
      </w:r>
      <w:r w:rsidR="00811642" w:rsidRPr="00782D7B">
        <w:rPr>
          <w:rFonts w:ascii="Arial" w:eastAsia="Times New Roman" w:hAnsi="Arial" w:cs="Arial"/>
          <w:sz w:val="24"/>
          <w:szCs w:val="24"/>
        </w:rPr>
        <w:t xml:space="preserve"> EPSP within the train is dampened significantly by the antagonistic action and during </w:t>
      </w:r>
      <w:r w:rsidR="00811642" w:rsidRPr="00782D7B">
        <w:rPr>
          <w:rFonts w:ascii="Arial" w:eastAsia="Times New Roman" w:hAnsi="Arial" w:cs="Arial"/>
          <w:sz w:val="24"/>
          <w:szCs w:val="24"/>
        </w:rPr>
        <w:lastRenderedPageBreak/>
        <w:t xml:space="preserve">the evoked release of glutamate then </w:t>
      </w:r>
      <w:r w:rsidR="00AA75F5" w:rsidRPr="00782D7B">
        <w:rPr>
          <w:rFonts w:ascii="Arial" w:eastAsia="Times New Roman" w:hAnsi="Arial" w:cs="Arial"/>
          <w:sz w:val="24"/>
          <w:szCs w:val="24"/>
        </w:rPr>
        <w:t xml:space="preserve">the </w:t>
      </w:r>
      <w:r w:rsidR="00811642" w:rsidRPr="00782D7B">
        <w:rPr>
          <w:rFonts w:ascii="Arial" w:eastAsia="Times New Roman" w:hAnsi="Arial" w:cs="Arial"/>
          <w:sz w:val="24"/>
          <w:szCs w:val="24"/>
        </w:rPr>
        <w:t xml:space="preserve">kainate is displaced would possible explain the slight, but consistent, increase in the median FI values as well for this </w:t>
      </w:r>
      <w:r w:rsidR="00AA75F5" w:rsidRPr="00782D7B">
        <w:rPr>
          <w:rFonts w:ascii="Arial" w:eastAsia="Times New Roman" w:hAnsi="Arial" w:cs="Arial"/>
          <w:sz w:val="24"/>
          <w:szCs w:val="24"/>
        </w:rPr>
        <w:t xml:space="preserve">experimental </w:t>
      </w:r>
      <w:r w:rsidR="00811642" w:rsidRPr="00782D7B">
        <w:rPr>
          <w:rFonts w:ascii="Arial" w:eastAsia="Times New Roman" w:hAnsi="Arial" w:cs="Arial"/>
          <w:sz w:val="24"/>
          <w:szCs w:val="24"/>
        </w:rPr>
        <w:t>paradigm. Th</w:t>
      </w:r>
      <w:r w:rsidR="00AA75F5" w:rsidRPr="00782D7B">
        <w:rPr>
          <w:rFonts w:ascii="Arial" w:eastAsia="Times New Roman" w:hAnsi="Arial" w:cs="Arial"/>
          <w:sz w:val="24"/>
          <w:szCs w:val="24"/>
        </w:rPr>
        <w:t>is also follows for the concept</w:t>
      </w:r>
      <w:r w:rsidR="00811642" w:rsidRPr="00782D7B">
        <w:rPr>
          <w:rFonts w:ascii="Arial" w:eastAsia="Times New Roman" w:hAnsi="Arial" w:cs="Arial"/>
          <w:sz w:val="24"/>
          <w:szCs w:val="24"/>
        </w:rPr>
        <w:t xml:space="preserve"> that when the </w:t>
      </w:r>
      <w:r w:rsidR="00811642" w:rsidRPr="00782D7B">
        <w:rPr>
          <w:rFonts w:ascii="Arial" w:hAnsi="Arial" w:cs="Arial"/>
          <w:sz w:val="24"/>
          <w:szCs w:val="24"/>
        </w:rPr>
        <w:t>[Ca</w:t>
      </w:r>
      <w:r w:rsidR="00811642" w:rsidRPr="00782D7B">
        <w:rPr>
          <w:rFonts w:ascii="Arial" w:hAnsi="Arial" w:cs="Arial"/>
          <w:sz w:val="24"/>
          <w:szCs w:val="24"/>
          <w:vertAlign w:val="superscript"/>
        </w:rPr>
        <w:t>2+</w:t>
      </w:r>
      <w:r w:rsidR="00811642" w:rsidRPr="00782D7B">
        <w:rPr>
          <w:rFonts w:ascii="Arial" w:hAnsi="Arial" w:cs="Arial"/>
          <w:sz w:val="24"/>
          <w:szCs w:val="24"/>
        </w:rPr>
        <w:t>]</w:t>
      </w:r>
      <w:r w:rsidR="00811642" w:rsidRPr="00782D7B">
        <w:rPr>
          <w:rFonts w:ascii="Arial" w:hAnsi="Arial" w:cs="Arial"/>
          <w:sz w:val="24"/>
          <w:szCs w:val="24"/>
          <w:vertAlign w:val="subscript"/>
        </w:rPr>
        <w:t>o</w:t>
      </w:r>
      <w:r w:rsidR="00811642" w:rsidRPr="00782D7B">
        <w:rPr>
          <w:rFonts w:ascii="Arial" w:eastAsia="Times New Roman" w:hAnsi="Arial" w:cs="Arial"/>
          <w:sz w:val="24"/>
          <w:szCs w:val="24"/>
        </w:rPr>
        <w:t xml:space="preserve"> is reduced to 0.5</w:t>
      </w:r>
      <w:r w:rsidR="000D0A2C">
        <w:rPr>
          <w:rFonts w:ascii="Arial" w:eastAsia="Times New Roman" w:hAnsi="Arial" w:cs="Arial"/>
          <w:sz w:val="24"/>
          <w:szCs w:val="24"/>
        </w:rPr>
        <w:t xml:space="preserve"> </w:t>
      </w:r>
      <w:r w:rsidR="00811642" w:rsidRPr="00782D7B">
        <w:rPr>
          <w:rFonts w:ascii="Arial" w:eastAsia="Times New Roman" w:hAnsi="Arial" w:cs="Arial"/>
          <w:sz w:val="24"/>
          <w:szCs w:val="24"/>
        </w:rPr>
        <w:t>mM</w:t>
      </w:r>
      <w:r w:rsidR="006A2E97" w:rsidRPr="00782D7B">
        <w:rPr>
          <w:rFonts w:ascii="Arial" w:eastAsia="Times New Roman" w:hAnsi="Arial" w:cs="Arial"/>
          <w:sz w:val="24"/>
          <w:szCs w:val="24"/>
        </w:rPr>
        <w:t>,</w:t>
      </w:r>
      <w:r w:rsidR="00811642" w:rsidRPr="00782D7B">
        <w:rPr>
          <w:rFonts w:ascii="Arial" w:eastAsia="Times New Roman" w:hAnsi="Arial" w:cs="Arial"/>
          <w:sz w:val="24"/>
          <w:szCs w:val="24"/>
        </w:rPr>
        <w:t xml:space="preserve"> the evoked amount of glutamate is not as pronounced so less displacement of the kainate would occur, </w:t>
      </w:r>
      <w:r w:rsidR="006A2E97" w:rsidRPr="00782D7B">
        <w:rPr>
          <w:rFonts w:ascii="Arial" w:eastAsia="Times New Roman" w:hAnsi="Arial" w:cs="Arial"/>
          <w:sz w:val="24"/>
          <w:szCs w:val="24"/>
        </w:rPr>
        <w:t xml:space="preserve">which </w:t>
      </w:r>
      <w:r w:rsidR="00811642" w:rsidRPr="00782D7B">
        <w:rPr>
          <w:rFonts w:ascii="Arial" w:eastAsia="Times New Roman" w:hAnsi="Arial" w:cs="Arial"/>
          <w:sz w:val="24"/>
          <w:szCs w:val="24"/>
        </w:rPr>
        <w:t xml:space="preserve">might explain why there is not as </w:t>
      </w:r>
      <w:r w:rsidR="000D0A2C">
        <w:rPr>
          <w:rFonts w:ascii="Arial" w:eastAsia="Times New Roman" w:hAnsi="Arial" w:cs="Arial"/>
          <w:sz w:val="24"/>
          <w:szCs w:val="24"/>
        </w:rPr>
        <w:t xml:space="preserve">much </w:t>
      </w:r>
      <w:r w:rsidR="006A2E97" w:rsidRPr="00782D7B">
        <w:rPr>
          <w:rFonts w:ascii="Arial" w:eastAsia="Times New Roman" w:hAnsi="Arial" w:cs="Arial"/>
          <w:sz w:val="24"/>
          <w:szCs w:val="24"/>
        </w:rPr>
        <w:t xml:space="preserve">change </w:t>
      </w:r>
      <w:r w:rsidR="00811642" w:rsidRPr="00782D7B">
        <w:rPr>
          <w:rFonts w:ascii="Arial" w:eastAsia="Times New Roman" w:hAnsi="Arial" w:cs="Arial"/>
          <w:sz w:val="24"/>
          <w:szCs w:val="24"/>
        </w:rPr>
        <w:t>on FI or on the median as well as the variability in the FI (</w:t>
      </w:r>
      <w:r w:rsidR="00811642" w:rsidRPr="00782D7B">
        <w:rPr>
          <w:rFonts w:ascii="Arial" w:eastAsia="Times New Roman" w:hAnsi="Arial" w:cs="Arial"/>
          <w:b/>
          <w:sz w:val="24"/>
          <w:szCs w:val="24"/>
        </w:rPr>
        <w:t xml:space="preserve">Figure </w:t>
      </w:r>
      <w:r w:rsidR="000129F5">
        <w:rPr>
          <w:rFonts w:ascii="Arial" w:eastAsia="Times New Roman" w:hAnsi="Arial" w:cs="Arial"/>
          <w:b/>
          <w:sz w:val="24"/>
          <w:szCs w:val="24"/>
        </w:rPr>
        <w:t>8</w:t>
      </w:r>
      <w:r w:rsidR="00811642" w:rsidRPr="00782D7B">
        <w:rPr>
          <w:rFonts w:ascii="Arial" w:eastAsia="Times New Roman" w:hAnsi="Arial" w:cs="Arial"/>
          <w:sz w:val="24"/>
          <w:szCs w:val="24"/>
        </w:rPr>
        <w:t>). We are not aware of reports addressing pharmacological examination of competitive antagonists during pulse trains to account for fluctuation in facilitation measures to compare our findings. More studies are warranted to examine this tentative working model in competitive antagonism during synaptic facilitation/depression to explain the mechanistic details behind these findings.</w:t>
      </w:r>
    </w:p>
    <w:p w:rsidR="008E4CBF" w:rsidRPr="00782D7B" w:rsidRDefault="009553FD" w:rsidP="008E4CBF">
      <w:pPr>
        <w:tabs>
          <w:tab w:val="left" w:pos="-1440"/>
        </w:tabs>
        <w:spacing w:line="480" w:lineRule="auto"/>
        <w:jc w:val="both"/>
        <w:rPr>
          <w:rFonts w:ascii="Arial" w:eastAsia="Times New Roman" w:hAnsi="Arial" w:cs="Arial"/>
          <w:sz w:val="24"/>
          <w:szCs w:val="24"/>
        </w:rPr>
      </w:pPr>
      <w:r w:rsidRPr="00782D7B">
        <w:rPr>
          <w:rFonts w:ascii="Arial" w:eastAsia="Times New Roman" w:hAnsi="Arial" w:cs="Arial"/>
          <w:sz w:val="24"/>
          <w:szCs w:val="24"/>
        </w:rPr>
        <w:tab/>
        <w:t xml:space="preserve">Since we have not been able to detect any presynaptic autoreceptor function at these NMJs, it would be interesting to know if these motor neurons produce mRNA for any glutamate receptor subtype. </w:t>
      </w:r>
      <w:r w:rsidR="00136891" w:rsidRPr="00782D7B">
        <w:rPr>
          <w:rFonts w:ascii="Arial" w:eastAsia="Times New Roman" w:hAnsi="Arial" w:cs="Arial"/>
          <w:sz w:val="24"/>
          <w:szCs w:val="24"/>
        </w:rPr>
        <w:t>There has yet to be investigation of possible presynaptic actions at other NMJs in the larvae or adult</w:t>
      </w:r>
      <w:r w:rsidR="00CD4E1A" w:rsidRPr="00782D7B">
        <w:rPr>
          <w:rFonts w:ascii="Arial" w:eastAsia="Times New Roman" w:hAnsi="Arial" w:cs="Arial"/>
          <w:sz w:val="24"/>
          <w:szCs w:val="24"/>
        </w:rPr>
        <w:t xml:space="preserve"> of </w:t>
      </w:r>
      <w:r w:rsidR="00CD4E1A" w:rsidRPr="00782D7B">
        <w:rPr>
          <w:rFonts w:ascii="Arial" w:eastAsia="Times New Roman" w:hAnsi="Arial" w:cs="Arial"/>
          <w:i/>
          <w:sz w:val="24"/>
          <w:szCs w:val="24"/>
        </w:rPr>
        <w:t>Drosophila</w:t>
      </w:r>
      <w:r w:rsidR="00CD4E1A" w:rsidRPr="00782D7B">
        <w:rPr>
          <w:rFonts w:ascii="Arial" w:eastAsia="Times New Roman" w:hAnsi="Arial" w:cs="Arial"/>
          <w:sz w:val="24"/>
          <w:szCs w:val="24"/>
        </w:rPr>
        <w:t>.</w:t>
      </w:r>
      <w:r w:rsidR="00136891" w:rsidRPr="00782D7B">
        <w:rPr>
          <w:rFonts w:ascii="Arial" w:eastAsia="Times New Roman" w:hAnsi="Arial" w:cs="Arial"/>
          <w:sz w:val="24"/>
          <w:szCs w:val="24"/>
        </w:rPr>
        <w:t xml:space="preserve"> </w:t>
      </w:r>
      <w:r w:rsidR="00CD4E1A" w:rsidRPr="00782D7B">
        <w:rPr>
          <w:rFonts w:ascii="Arial" w:eastAsia="Times New Roman" w:hAnsi="Arial" w:cs="Arial"/>
          <w:sz w:val="24"/>
          <w:szCs w:val="24"/>
        </w:rPr>
        <w:t>T</w:t>
      </w:r>
      <w:r w:rsidR="00136891" w:rsidRPr="00782D7B">
        <w:rPr>
          <w:rFonts w:ascii="Arial" w:eastAsia="Times New Roman" w:hAnsi="Arial" w:cs="Arial"/>
          <w:sz w:val="24"/>
          <w:szCs w:val="24"/>
        </w:rPr>
        <w:t xml:space="preserve">he subset of junctions that we examined may not be indicative of all the </w:t>
      </w:r>
      <w:r w:rsidR="00136891" w:rsidRPr="00782D7B">
        <w:rPr>
          <w:rFonts w:ascii="Arial" w:eastAsia="Times New Roman" w:hAnsi="Arial" w:cs="Arial"/>
          <w:i/>
          <w:sz w:val="24"/>
          <w:szCs w:val="24"/>
        </w:rPr>
        <w:t>Drosophila</w:t>
      </w:r>
      <w:r w:rsidR="00136891" w:rsidRPr="00782D7B">
        <w:rPr>
          <w:rFonts w:ascii="Arial" w:eastAsia="Times New Roman" w:hAnsi="Arial" w:cs="Arial"/>
          <w:sz w:val="24"/>
          <w:szCs w:val="24"/>
        </w:rPr>
        <w:t xml:space="preserve"> NMJs</w:t>
      </w:r>
      <w:r w:rsidR="00CD4E1A" w:rsidRPr="00782D7B">
        <w:rPr>
          <w:rFonts w:ascii="Arial" w:eastAsia="Times New Roman" w:hAnsi="Arial" w:cs="Arial"/>
          <w:sz w:val="24"/>
          <w:szCs w:val="24"/>
        </w:rPr>
        <w:t>, so further investigations are warranted</w:t>
      </w:r>
      <w:r w:rsidR="00136891" w:rsidRPr="00782D7B">
        <w:rPr>
          <w:rFonts w:ascii="Arial" w:eastAsia="Times New Roman" w:hAnsi="Arial" w:cs="Arial"/>
          <w:sz w:val="24"/>
          <w:szCs w:val="24"/>
        </w:rPr>
        <w:t xml:space="preserve">. </w:t>
      </w:r>
    </w:p>
    <w:p w:rsidR="008E4CBF" w:rsidRPr="00782D7B" w:rsidRDefault="008E4CBF">
      <w:pPr>
        <w:rPr>
          <w:rFonts w:ascii="Arial" w:eastAsia="Times New Roman" w:hAnsi="Arial" w:cs="Arial"/>
          <w:sz w:val="24"/>
          <w:szCs w:val="24"/>
        </w:rPr>
      </w:pPr>
    </w:p>
    <w:p w:rsidR="006B5EA8" w:rsidRDefault="006B5EA8">
      <w:pPr>
        <w:rPr>
          <w:rFonts w:ascii="Arial" w:hAnsi="Arial" w:cs="Arial"/>
          <w:b/>
          <w:bCs/>
        </w:rPr>
      </w:pPr>
      <w:r>
        <w:rPr>
          <w:rFonts w:ascii="Arial" w:hAnsi="Arial" w:cs="Arial"/>
          <w:b/>
          <w:bCs/>
        </w:rPr>
        <w:br w:type="page"/>
      </w:r>
    </w:p>
    <w:p w:rsidR="006B5EA8" w:rsidRPr="001D4841" w:rsidRDefault="00373739" w:rsidP="006B5EA8">
      <w:pPr>
        <w:spacing w:line="480" w:lineRule="auto"/>
        <w:jc w:val="both"/>
        <w:rPr>
          <w:rFonts w:ascii="Arial" w:hAnsi="Arial" w:cs="Arial"/>
          <w:b/>
          <w:bCs/>
        </w:rPr>
      </w:pPr>
      <w:r>
        <w:rPr>
          <w:rFonts w:ascii="Arial" w:hAnsi="Arial" w:cs="Arial"/>
          <w:b/>
          <w:bCs/>
        </w:rPr>
        <w:lastRenderedPageBreak/>
        <w:t xml:space="preserve">5. </w:t>
      </w:r>
      <w:r w:rsidR="006B5EA8" w:rsidRPr="001D4841">
        <w:rPr>
          <w:rFonts w:ascii="Arial" w:hAnsi="Arial" w:cs="Arial"/>
          <w:b/>
          <w:bCs/>
        </w:rPr>
        <w:t>REFERENCES</w:t>
      </w: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Anderson, C.R., Cull-Candy, S.G., Miledi, R., 1976. Glutamate and quisqualate noise in voltage-clamped locust muscle fibres. </w:t>
      </w:r>
      <w:r w:rsidRPr="00C915D3">
        <w:rPr>
          <w:rFonts w:ascii="Arial" w:hAnsi="Arial" w:cs="Arial"/>
          <w:iCs/>
          <w:sz w:val="24"/>
          <w:szCs w:val="24"/>
        </w:rPr>
        <w:t>Nature</w:t>
      </w:r>
      <w:r w:rsidRPr="00C915D3">
        <w:rPr>
          <w:rFonts w:ascii="Arial" w:hAnsi="Arial" w:cs="Arial"/>
          <w:sz w:val="24"/>
          <w:szCs w:val="24"/>
        </w:rPr>
        <w:t xml:space="preserve"> </w:t>
      </w:r>
      <w:r w:rsidRPr="00C915D3">
        <w:rPr>
          <w:rFonts w:ascii="Arial" w:hAnsi="Arial" w:cs="Arial"/>
          <w:bCs/>
          <w:sz w:val="24"/>
          <w:szCs w:val="24"/>
        </w:rPr>
        <w:t>261</w:t>
      </w:r>
      <w:r w:rsidRPr="00C915D3">
        <w:rPr>
          <w:rFonts w:ascii="Arial" w:hAnsi="Arial" w:cs="Arial"/>
          <w:sz w:val="24"/>
          <w:szCs w:val="24"/>
        </w:rPr>
        <w:t>,151-153.</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Atwood, H.L., </w:t>
      </w:r>
      <w:r w:rsidRPr="00C915D3">
        <w:rPr>
          <w:rFonts w:ascii="Arial" w:hAnsi="Arial" w:cs="Arial"/>
          <w:bCs/>
          <w:sz w:val="24"/>
          <w:szCs w:val="24"/>
        </w:rPr>
        <w:t>Cooper, R.L.,</w:t>
      </w:r>
      <w:r w:rsidRPr="00C915D3">
        <w:rPr>
          <w:rFonts w:ascii="Arial" w:hAnsi="Arial" w:cs="Arial"/>
          <w:sz w:val="24"/>
          <w:szCs w:val="24"/>
        </w:rPr>
        <w:t xml:space="preserve"> </w:t>
      </w:r>
      <w:r w:rsidRPr="00C915D3">
        <w:rPr>
          <w:rFonts w:ascii="Arial" w:hAnsi="Arial" w:cs="Arial"/>
          <w:bCs/>
          <w:sz w:val="24"/>
          <w:szCs w:val="24"/>
        </w:rPr>
        <w:t>1995.</w:t>
      </w:r>
      <w:r w:rsidRPr="00C915D3">
        <w:rPr>
          <w:rFonts w:ascii="Arial" w:hAnsi="Arial" w:cs="Arial"/>
          <w:sz w:val="24"/>
          <w:szCs w:val="24"/>
        </w:rPr>
        <w:t xml:space="preserve"> Functional and structural parallels in crustaceans and </w:t>
      </w:r>
      <w:r w:rsidRPr="00C915D3">
        <w:rPr>
          <w:rFonts w:ascii="Arial" w:hAnsi="Arial" w:cs="Arial"/>
          <w:iCs/>
          <w:sz w:val="24"/>
          <w:szCs w:val="24"/>
        </w:rPr>
        <w:t>Drosophila</w:t>
      </w:r>
      <w:r w:rsidRPr="00C915D3">
        <w:rPr>
          <w:rFonts w:ascii="Arial" w:hAnsi="Arial" w:cs="Arial"/>
          <w:sz w:val="24"/>
          <w:szCs w:val="24"/>
        </w:rPr>
        <w:t xml:space="preserve"> neuromuscular systems. </w:t>
      </w:r>
      <w:r w:rsidRPr="00C915D3">
        <w:rPr>
          <w:rFonts w:ascii="Arial" w:hAnsi="Arial" w:cs="Arial"/>
          <w:bCs/>
          <w:sz w:val="24"/>
          <w:szCs w:val="24"/>
        </w:rPr>
        <w:t>American Zoologist</w:t>
      </w:r>
      <w:r w:rsidRPr="00C915D3">
        <w:rPr>
          <w:rFonts w:ascii="Arial" w:hAnsi="Arial" w:cs="Arial"/>
          <w:sz w:val="24"/>
          <w:szCs w:val="24"/>
        </w:rPr>
        <w:t xml:space="preserve"> 35(6), 556- 565.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Atwood, H.L., </w:t>
      </w:r>
      <w:r w:rsidRPr="00C915D3">
        <w:rPr>
          <w:rFonts w:ascii="Arial" w:hAnsi="Arial" w:cs="Arial"/>
          <w:bCs/>
          <w:sz w:val="24"/>
          <w:szCs w:val="24"/>
        </w:rPr>
        <w:t>Cooper, R.L.,</w:t>
      </w:r>
      <w:r w:rsidRPr="00C915D3">
        <w:rPr>
          <w:rFonts w:ascii="Arial" w:hAnsi="Arial" w:cs="Arial"/>
          <w:sz w:val="24"/>
          <w:szCs w:val="24"/>
        </w:rPr>
        <w:t xml:space="preserve"> </w:t>
      </w:r>
      <w:r w:rsidRPr="00C915D3">
        <w:rPr>
          <w:rFonts w:ascii="Arial" w:hAnsi="Arial" w:cs="Arial"/>
          <w:bCs/>
          <w:sz w:val="24"/>
          <w:szCs w:val="24"/>
        </w:rPr>
        <w:t>1996.</w:t>
      </w:r>
      <w:r w:rsidRPr="00C915D3">
        <w:rPr>
          <w:rFonts w:ascii="Arial" w:hAnsi="Arial" w:cs="Arial"/>
          <w:sz w:val="24"/>
          <w:szCs w:val="24"/>
        </w:rPr>
        <w:t xml:space="preserve"> Synaptic diversity and differentiation: Crustacean neuromuscular junctions. </w:t>
      </w:r>
      <w:r w:rsidRPr="00C915D3">
        <w:rPr>
          <w:rFonts w:ascii="Arial" w:hAnsi="Arial" w:cs="Arial"/>
          <w:bCs/>
          <w:sz w:val="24"/>
          <w:szCs w:val="24"/>
        </w:rPr>
        <w:t>Invertebrate Neurosci.</w:t>
      </w:r>
      <w:r w:rsidRPr="00C915D3">
        <w:rPr>
          <w:rFonts w:ascii="Arial" w:hAnsi="Arial" w:cs="Arial"/>
          <w:sz w:val="24"/>
          <w:szCs w:val="24"/>
        </w:rPr>
        <w:t xml:space="preserve"> 1, 291-307.</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Atwood, H.L., Govind, C.K., Wu, C.F., 1993. Differential ultrastructure of synaptic terminals on ventral longitudinal abdominal muscles in </w:t>
      </w:r>
      <w:r w:rsidRPr="00C915D3">
        <w:rPr>
          <w:rFonts w:ascii="Arial" w:hAnsi="Arial" w:cs="Arial"/>
          <w:iCs/>
          <w:sz w:val="24"/>
          <w:szCs w:val="24"/>
        </w:rPr>
        <w:t>Drosophila</w:t>
      </w:r>
      <w:r w:rsidRPr="00C915D3">
        <w:rPr>
          <w:rFonts w:ascii="Arial" w:hAnsi="Arial" w:cs="Arial"/>
          <w:sz w:val="24"/>
          <w:szCs w:val="24"/>
        </w:rPr>
        <w:t xml:space="preserve"> larvae. </w:t>
      </w:r>
      <w:r w:rsidRPr="00C915D3">
        <w:rPr>
          <w:rFonts w:ascii="Arial" w:hAnsi="Arial" w:cs="Arial"/>
          <w:iCs/>
          <w:sz w:val="24"/>
          <w:szCs w:val="24"/>
        </w:rPr>
        <w:t>J. Neurobiol.</w:t>
      </w:r>
      <w:r w:rsidRPr="00C915D3">
        <w:rPr>
          <w:rFonts w:ascii="Arial" w:hAnsi="Arial" w:cs="Arial"/>
          <w:sz w:val="24"/>
          <w:szCs w:val="24"/>
        </w:rPr>
        <w:t xml:space="preserve">  </w:t>
      </w:r>
      <w:r w:rsidRPr="00C915D3">
        <w:rPr>
          <w:rFonts w:ascii="Arial" w:hAnsi="Arial" w:cs="Arial"/>
          <w:bCs/>
          <w:sz w:val="24"/>
          <w:szCs w:val="24"/>
        </w:rPr>
        <w:t xml:space="preserve">24, </w:t>
      </w:r>
      <w:r w:rsidRPr="00C915D3">
        <w:rPr>
          <w:rFonts w:ascii="Arial" w:hAnsi="Arial" w:cs="Arial"/>
          <w:sz w:val="24"/>
          <w:szCs w:val="24"/>
        </w:rPr>
        <w:t>1008-1024.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Ball, R., Xing, B., Bonner, P., Shearer, J., Cooper, R.L., 2003. Long-term maintenance of neuromuscular junction activity in cultured </w:t>
      </w:r>
      <w:r w:rsidRPr="00C915D3">
        <w:rPr>
          <w:rFonts w:ascii="Arial" w:hAnsi="Arial" w:cs="Arial"/>
          <w:iCs/>
          <w:sz w:val="24"/>
          <w:szCs w:val="24"/>
        </w:rPr>
        <w:t>Drosophila</w:t>
      </w:r>
      <w:r w:rsidRPr="00C915D3">
        <w:rPr>
          <w:rFonts w:ascii="Arial" w:hAnsi="Arial" w:cs="Arial"/>
          <w:sz w:val="24"/>
          <w:szCs w:val="24"/>
        </w:rPr>
        <w:t xml:space="preserve"> larvae. </w:t>
      </w:r>
      <w:r w:rsidRPr="00C915D3">
        <w:rPr>
          <w:rFonts w:ascii="Arial" w:hAnsi="Arial" w:cs="Arial"/>
          <w:iCs/>
          <w:sz w:val="24"/>
          <w:szCs w:val="24"/>
        </w:rPr>
        <w:t>Comp. Biochem. Physiol. A</w:t>
      </w:r>
      <w:r w:rsidRPr="00C915D3">
        <w:rPr>
          <w:rFonts w:ascii="Arial" w:hAnsi="Arial" w:cs="Arial"/>
          <w:sz w:val="24"/>
          <w:szCs w:val="24"/>
        </w:rPr>
        <w:t xml:space="preserve"> </w:t>
      </w:r>
      <w:r w:rsidRPr="00C915D3">
        <w:rPr>
          <w:rFonts w:ascii="Arial" w:hAnsi="Arial" w:cs="Arial"/>
          <w:bCs/>
          <w:sz w:val="24"/>
          <w:szCs w:val="24"/>
        </w:rPr>
        <w:t xml:space="preserve">134, </w:t>
      </w:r>
      <w:r w:rsidRPr="00C915D3">
        <w:rPr>
          <w:rFonts w:ascii="Arial" w:hAnsi="Arial" w:cs="Arial"/>
          <w:sz w:val="24"/>
          <w:szCs w:val="24"/>
        </w:rPr>
        <w:t>247-255.</w:t>
      </w:r>
    </w:p>
    <w:p w:rsidR="006B5EA8" w:rsidRPr="00C915D3" w:rsidRDefault="006B5EA8" w:rsidP="006B5EA8">
      <w:pPr>
        <w:spacing w:after="0" w:line="480" w:lineRule="auto"/>
        <w:jc w:val="both"/>
        <w:rPr>
          <w:rFonts w:ascii="Arial" w:hAnsi="Arial" w:cs="Arial"/>
          <w:bCs/>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Betz, H., Schuster, C., Ultsch, A., Schmitt, B., 1993. Molecular biology of ionotropic glutamate receptors in </w:t>
      </w:r>
      <w:r w:rsidRPr="00C915D3">
        <w:rPr>
          <w:rFonts w:ascii="Arial" w:hAnsi="Arial" w:cs="Arial"/>
          <w:iCs/>
          <w:sz w:val="24"/>
          <w:szCs w:val="24"/>
        </w:rPr>
        <w:t>Drosophila melanogaster</w:t>
      </w:r>
      <w:r w:rsidRPr="00C915D3">
        <w:rPr>
          <w:rFonts w:ascii="Arial" w:hAnsi="Arial" w:cs="Arial"/>
          <w:sz w:val="24"/>
          <w:szCs w:val="24"/>
        </w:rPr>
        <w:t xml:space="preserve">. </w:t>
      </w:r>
      <w:r w:rsidRPr="00C915D3">
        <w:rPr>
          <w:rFonts w:ascii="Arial" w:hAnsi="Arial" w:cs="Arial"/>
          <w:iCs/>
          <w:sz w:val="24"/>
          <w:szCs w:val="24"/>
        </w:rPr>
        <w:t>Trends in Pharmacol. Sci.</w:t>
      </w:r>
      <w:r w:rsidRPr="00C915D3">
        <w:rPr>
          <w:rFonts w:ascii="Arial" w:hAnsi="Arial" w:cs="Arial"/>
          <w:sz w:val="24"/>
          <w:szCs w:val="24"/>
        </w:rPr>
        <w:t xml:space="preserve"> </w:t>
      </w:r>
      <w:r w:rsidRPr="00C915D3">
        <w:rPr>
          <w:rFonts w:ascii="Arial" w:hAnsi="Arial" w:cs="Arial"/>
          <w:bCs/>
          <w:sz w:val="24"/>
          <w:szCs w:val="24"/>
        </w:rPr>
        <w:t xml:space="preserve">12, </w:t>
      </w:r>
      <w:r w:rsidRPr="00C915D3">
        <w:rPr>
          <w:rFonts w:ascii="Arial" w:hAnsi="Arial" w:cs="Arial"/>
          <w:sz w:val="24"/>
          <w:szCs w:val="24"/>
        </w:rPr>
        <w:t>428-431.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lastRenderedPageBreak/>
        <w:t xml:space="preserve">Bhatt, D., Cooper, R.L., 2005. The pharmacological and physiological profile of glutamate receptors at the </w:t>
      </w:r>
      <w:r w:rsidRPr="00EC01A0">
        <w:rPr>
          <w:rFonts w:ascii="Arial" w:hAnsi="Arial" w:cs="Arial"/>
          <w:i/>
          <w:iCs/>
          <w:sz w:val="24"/>
          <w:szCs w:val="24"/>
        </w:rPr>
        <w:t>Drosophila</w:t>
      </w:r>
      <w:r w:rsidRPr="00C915D3">
        <w:rPr>
          <w:rFonts w:ascii="Arial" w:hAnsi="Arial" w:cs="Arial"/>
          <w:sz w:val="24"/>
          <w:szCs w:val="24"/>
        </w:rPr>
        <w:t xml:space="preserve"> larval neuromuscular j</w:t>
      </w:r>
      <w:r w:rsidR="00EC01A0">
        <w:rPr>
          <w:rFonts w:ascii="Arial" w:hAnsi="Arial" w:cs="Arial"/>
          <w:sz w:val="24"/>
          <w:szCs w:val="24"/>
        </w:rPr>
        <w:t>unction. Physiol. Entomol. 30, 205-2</w:t>
      </w:r>
      <w:r w:rsidRPr="00C915D3">
        <w:rPr>
          <w:rFonts w:ascii="Arial" w:hAnsi="Arial" w:cs="Arial"/>
          <w:sz w:val="24"/>
          <w:szCs w:val="24"/>
        </w:rPr>
        <w:t>10.</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Bochet, P., Dutriaux, A., Lambolez, B., Nalivaiko, E., Rossier, J., Prado-de-Carvalho, L., 1991.  A chimeric glutamate receptor subunit : discrete changes modify the properties of the channel. Biochem. Biophys. Res. Commun. 177, 1183-1187.</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Bogdanik, L., Mohrmann, R., Ramaekers, A., Bockaert, J., Grau, Y., Broadie, K., Parmentier, M.L., 2004. The Drosophila metabotropic glutamate receptor DmGluRA regulates activity-dependent synaptic facilitation and fine synaptic morphology. </w:t>
      </w:r>
      <w:r w:rsidRPr="00C915D3">
        <w:rPr>
          <w:rStyle w:val="italics"/>
          <w:rFonts w:ascii="Arial" w:hAnsi="Arial" w:cs="Arial"/>
          <w:sz w:val="24"/>
          <w:szCs w:val="24"/>
        </w:rPr>
        <w:t xml:space="preserve"> J. Neurosci. </w:t>
      </w:r>
      <w:r w:rsidRPr="00C915D3">
        <w:rPr>
          <w:rStyle w:val="bold1"/>
          <w:rFonts w:ascii="Arial" w:hAnsi="Arial" w:cs="Arial"/>
          <w:b w:val="0"/>
          <w:sz w:val="24"/>
          <w:szCs w:val="24"/>
        </w:rPr>
        <w:t xml:space="preserve">24(41), </w:t>
      </w:r>
      <w:r w:rsidRPr="00C915D3">
        <w:rPr>
          <w:rFonts w:ascii="Arial" w:hAnsi="Arial" w:cs="Arial"/>
          <w:sz w:val="24"/>
          <w:szCs w:val="24"/>
        </w:rPr>
        <w:t xml:space="preserve"> 9105--9116.</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Campbell, S.L., Mathew, S.S., Hablitz, J.J., 2007. Pre- and postsynaptic effects of kainate on layer II/III pyramidal cells in rat neocortex. Neuropharmacol 53(1), 37-47.</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Campos-Ortega, J.A., Hartenstein, V., 1985 </w:t>
      </w:r>
      <w:r w:rsidRPr="00C915D3">
        <w:rPr>
          <w:rFonts w:ascii="Arial" w:hAnsi="Arial" w:cs="Arial"/>
          <w:iCs/>
          <w:sz w:val="24"/>
          <w:szCs w:val="24"/>
        </w:rPr>
        <w:t>The embryonic development of Drosophila melanogaster</w:t>
      </w:r>
      <w:r w:rsidRPr="00C915D3">
        <w:rPr>
          <w:rFonts w:ascii="Arial" w:hAnsi="Arial" w:cs="Arial"/>
          <w:sz w:val="24"/>
          <w:szCs w:val="24"/>
        </w:rPr>
        <w:t>. Spring-Verlag, Berlin.</w:t>
      </w:r>
    </w:p>
    <w:p w:rsidR="006B5EA8" w:rsidRPr="00C915D3" w:rsidRDefault="006B5EA8" w:rsidP="006B5EA8">
      <w:pPr>
        <w:pStyle w:val="Date"/>
        <w:spacing w:line="480" w:lineRule="auto"/>
        <w:jc w:val="both"/>
        <w:rPr>
          <w:rFonts w:ascii="Arial" w:hAnsi="Arial" w:cs="Arial"/>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Chang, H., Ciani, S., Kidokoro, Y., 1994. Ion permeation properties of the glutamate receptor channel in cultured embryonic </w:t>
      </w:r>
      <w:r w:rsidRPr="00C915D3">
        <w:rPr>
          <w:rFonts w:ascii="Arial" w:hAnsi="Arial" w:cs="Arial"/>
          <w:iCs/>
          <w:sz w:val="24"/>
          <w:szCs w:val="24"/>
        </w:rPr>
        <w:t>Drosophila</w:t>
      </w:r>
      <w:r w:rsidRPr="00C915D3">
        <w:rPr>
          <w:rFonts w:ascii="Arial" w:hAnsi="Arial" w:cs="Arial"/>
          <w:sz w:val="24"/>
          <w:szCs w:val="24"/>
        </w:rPr>
        <w:t xml:space="preserve"> myotubes. </w:t>
      </w:r>
      <w:r w:rsidRPr="00C915D3">
        <w:rPr>
          <w:rFonts w:ascii="Arial" w:hAnsi="Arial" w:cs="Arial"/>
          <w:iCs/>
          <w:sz w:val="24"/>
          <w:szCs w:val="24"/>
        </w:rPr>
        <w:t>J. Physiology</w:t>
      </w:r>
      <w:r w:rsidRPr="00C915D3">
        <w:rPr>
          <w:rFonts w:ascii="Arial" w:hAnsi="Arial" w:cs="Arial"/>
          <w:sz w:val="24"/>
          <w:szCs w:val="24"/>
        </w:rPr>
        <w:t xml:space="preserve"> </w:t>
      </w:r>
      <w:r w:rsidRPr="00C915D3">
        <w:rPr>
          <w:rFonts w:ascii="Arial" w:hAnsi="Arial" w:cs="Arial"/>
          <w:bCs/>
          <w:sz w:val="24"/>
          <w:szCs w:val="24"/>
        </w:rPr>
        <w:t xml:space="preserve">476, </w:t>
      </w:r>
      <w:r w:rsidRPr="00C915D3">
        <w:rPr>
          <w:rFonts w:ascii="Arial" w:hAnsi="Arial" w:cs="Arial"/>
          <w:sz w:val="24"/>
          <w:szCs w:val="24"/>
        </w:rPr>
        <w:t>1-16.</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lastRenderedPageBreak/>
        <w:t xml:space="preserve">Chang, H., Kidokoro, Y., 1996. Kinetic properties of glutamate receptor channels in cultured embryonic </w:t>
      </w:r>
      <w:r w:rsidRPr="00C915D3">
        <w:rPr>
          <w:rFonts w:ascii="Arial" w:hAnsi="Arial" w:cs="Arial"/>
          <w:iCs/>
          <w:sz w:val="24"/>
          <w:szCs w:val="24"/>
        </w:rPr>
        <w:t>Drosophila</w:t>
      </w:r>
      <w:r w:rsidRPr="00C915D3">
        <w:rPr>
          <w:rFonts w:ascii="Arial" w:hAnsi="Arial" w:cs="Arial"/>
          <w:sz w:val="24"/>
          <w:szCs w:val="24"/>
        </w:rPr>
        <w:t xml:space="preserve"> myotubes. </w:t>
      </w:r>
      <w:r w:rsidRPr="00C915D3">
        <w:rPr>
          <w:rFonts w:ascii="Arial" w:hAnsi="Arial" w:cs="Arial"/>
          <w:iCs/>
          <w:sz w:val="24"/>
          <w:szCs w:val="24"/>
        </w:rPr>
        <w:t>Japan J. Physiol.</w:t>
      </w:r>
      <w:r w:rsidRPr="00C915D3">
        <w:rPr>
          <w:rFonts w:ascii="Arial" w:hAnsi="Arial" w:cs="Arial"/>
          <w:sz w:val="24"/>
          <w:szCs w:val="24"/>
        </w:rPr>
        <w:t xml:space="preserve"> </w:t>
      </w:r>
      <w:r w:rsidRPr="00C915D3">
        <w:rPr>
          <w:rFonts w:ascii="Arial" w:hAnsi="Arial" w:cs="Arial"/>
          <w:bCs/>
          <w:sz w:val="24"/>
          <w:szCs w:val="24"/>
        </w:rPr>
        <w:t>46, 2</w:t>
      </w:r>
      <w:r w:rsidRPr="00C915D3">
        <w:rPr>
          <w:rFonts w:ascii="Arial" w:hAnsi="Arial" w:cs="Arial"/>
          <w:sz w:val="24"/>
          <w:szCs w:val="24"/>
        </w:rPr>
        <w:t>49-264.</w:t>
      </w:r>
    </w:p>
    <w:p w:rsidR="006B5EA8" w:rsidRPr="00C915D3" w:rsidRDefault="006B5EA8" w:rsidP="006B5EA8">
      <w:pPr>
        <w:spacing w:after="0" w:line="480" w:lineRule="auto"/>
        <w:jc w:val="both"/>
        <w:rPr>
          <w:rFonts w:ascii="Arial" w:hAnsi="Arial" w:cs="Arial"/>
          <w:sz w:val="24"/>
          <w:szCs w:val="24"/>
          <w:lang w:val="en-GB"/>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Chang, Y., Weiss, D.S., 2002. Site-specific fluorescence reveals distinct structural changes with GABA receptor activation and antagonism. Nature Neurosci. 5(11), 1163-1168.</w:t>
      </w:r>
    </w:p>
    <w:p w:rsidR="006B5EA8" w:rsidRPr="00C915D3" w:rsidRDefault="006B5EA8" w:rsidP="006B5EA8">
      <w:pPr>
        <w:spacing w:after="0" w:line="480" w:lineRule="auto"/>
        <w:jc w:val="both"/>
        <w:rPr>
          <w:rFonts w:ascii="Arial" w:hAnsi="Arial" w:cs="Arial"/>
          <w:bCs/>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bCs/>
          <w:sz w:val="24"/>
          <w:szCs w:val="24"/>
        </w:rPr>
        <w:t>Chittajallu, R.</w:t>
      </w:r>
      <w:r w:rsidRPr="00C915D3">
        <w:rPr>
          <w:rFonts w:ascii="Arial" w:hAnsi="Arial" w:cs="Arial"/>
          <w:sz w:val="24"/>
          <w:szCs w:val="24"/>
        </w:rPr>
        <w:t xml:space="preserve">, </w:t>
      </w:r>
      <w:r w:rsidRPr="00C915D3">
        <w:rPr>
          <w:rFonts w:ascii="Arial" w:hAnsi="Arial" w:cs="Arial"/>
          <w:bCs/>
          <w:sz w:val="24"/>
          <w:szCs w:val="24"/>
        </w:rPr>
        <w:t>Vignes, M.</w:t>
      </w:r>
      <w:r w:rsidRPr="00C915D3">
        <w:rPr>
          <w:rFonts w:ascii="Arial" w:hAnsi="Arial" w:cs="Arial"/>
          <w:sz w:val="24"/>
          <w:szCs w:val="24"/>
        </w:rPr>
        <w:t xml:space="preserve">, </w:t>
      </w:r>
      <w:r w:rsidRPr="00C915D3">
        <w:rPr>
          <w:rFonts w:ascii="Arial" w:hAnsi="Arial" w:cs="Arial"/>
          <w:bCs/>
          <w:sz w:val="24"/>
          <w:szCs w:val="24"/>
        </w:rPr>
        <w:t>Dev, K.K.</w:t>
      </w:r>
      <w:r w:rsidRPr="00C915D3">
        <w:rPr>
          <w:rFonts w:ascii="Arial" w:hAnsi="Arial" w:cs="Arial"/>
          <w:sz w:val="24"/>
          <w:szCs w:val="24"/>
        </w:rPr>
        <w:t xml:space="preserve">, </w:t>
      </w:r>
      <w:r w:rsidRPr="00C915D3">
        <w:rPr>
          <w:rFonts w:ascii="Arial" w:hAnsi="Arial" w:cs="Arial"/>
          <w:bCs/>
          <w:sz w:val="24"/>
          <w:szCs w:val="24"/>
        </w:rPr>
        <w:t>Barnes, J.M.</w:t>
      </w:r>
      <w:r w:rsidRPr="00C915D3">
        <w:rPr>
          <w:rFonts w:ascii="Arial" w:hAnsi="Arial" w:cs="Arial"/>
          <w:sz w:val="24"/>
          <w:szCs w:val="24"/>
        </w:rPr>
        <w:t xml:space="preserve">, </w:t>
      </w:r>
      <w:r w:rsidRPr="00C915D3">
        <w:rPr>
          <w:rFonts w:ascii="Arial" w:hAnsi="Arial" w:cs="Arial"/>
          <w:bCs/>
          <w:sz w:val="24"/>
          <w:szCs w:val="24"/>
        </w:rPr>
        <w:t>Collingridge, G.L.</w:t>
      </w:r>
      <w:r w:rsidRPr="00C915D3">
        <w:rPr>
          <w:rFonts w:ascii="Arial" w:hAnsi="Arial" w:cs="Arial"/>
          <w:sz w:val="24"/>
          <w:szCs w:val="24"/>
        </w:rPr>
        <w:t xml:space="preserve">, </w:t>
      </w:r>
      <w:r w:rsidRPr="00C915D3">
        <w:rPr>
          <w:rFonts w:ascii="Arial" w:hAnsi="Arial" w:cs="Arial"/>
          <w:bCs/>
          <w:sz w:val="24"/>
          <w:szCs w:val="24"/>
        </w:rPr>
        <w:t xml:space="preserve">Henley, J.M., 1996. </w:t>
      </w:r>
      <w:r w:rsidRPr="00C915D3">
        <w:rPr>
          <w:rFonts w:ascii="Arial" w:hAnsi="Arial" w:cs="Arial"/>
          <w:sz w:val="24"/>
          <w:szCs w:val="24"/>
        </w:rPr>
        <w:t>Wingless inactivates glycogen synthase kinase-3 via an intracellular signalling pathway which involves a protein kinase C. EMBO J. 15(17), 4526-4536.</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Cooper, R.L., Marin, L., Atwood, H.L., 1995a. Synaptic differentiation of a single motor neuron: conjoint definition of transmitter release, presynaptic calcium signals, and ultrastructure. J. Neurosci. 15(6), 4209-4222.</w:t>
      </w: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 </w:t>
      </w: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lang w:val="en-GB"/>
        </w:rPr>
        <w:t>Cooper, R.L., Stewart, B.A., Wojtowicz, J.M., Wang, S., Atwood HL., 1995b. Quantal measurement and analysis methods compared for crayfish and Drosophila neuromuscular junctions and rat hippocampus. J.  Neurosci. Meth.  61, 67 - 78.</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Cull-Candy, S.G., Parker, I., 1983. Experimental approaches used to examine single glutamate-receptor ion channels in locust muscle fibers. </w:t>
      </w:r>
      <w:r w:rsidRPr="00C915D3">
        <w:rPr>
          <w:rFonts w:ascii="Arial" w:hAnsi="Arial" w:cs="Arial"/>
          <w:iCs/>
          <w:sz w:val="24"/>
          <w:szCs w:val="24"/>
        </w:rPr>
        <w:t>Single-Channel Recording</w:t>
      </w:r>
      <w:r w:rsidRPr="00C915D3">
        <w:rPr>
          <w:rFonts w:ascii="Arial" w:hAnsi="Arial" w:cs="Arial"/>
          <w:sz w:val="24"/>
          <w:szCs w:val="24"/>
        </w:rPr>
        <w:t>. (ed. by B. Sakmann and E. Neher), pp. 389-400. Plenum Press, New York.</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lastRenderedPageBreak/>
        <w:t>Curutchet, P., Bochet, P., Carvalho, L., Prado, de, Lambolez, B., Stinnakre, J., Rossier, J., 1992. In the GluR1 glutamate receptor subunit a glutamine to histidine point mutation suppresses inward rectification but not calcium permeability. Biochem. Biophys. Res. Commun. 182, 1089-1093.</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Dasari, S., Cooper, R.L., 2004. Modulation of sensory to motor circuits by serotonin, octopamine, and dopamine in semi-intact </w:t>
      </w:r>
      <w:r w:rsidRPr="00C915D3">
        <w:rPr>
          <w:rFonts w:ascii="Arial" w:hAnsi="Arial" w:cs="Arial"/>
          <w:iCs/>
          <w:sz w:val="24"/>
          <w:szCs w:val="24"/>
        </w:rPr>
        <w:t>Drosophila</w:t>
      </w:r>
      <w:r w:rsidRPr="00C915D3">
        <w:rPr>
          <w:rFonts w:ascii="Arial" w:hAnsi="Arial" w:cs="Arial"/>
          <w:sz w:val="24"/>
          <w:szCs w:val="24"/>
        </w:rPr>
        <w:t xml:space="preserve"> larva. </w:t>
      </w:r>
      <w:r w:rsidRPr="00C915D3">
        <w:rPr>
          <w:rFonts w:ascii="Arial" w:hAnsi="Arial" w:cs="Arial"/>
          <w:iCs/>
          <w:sz w:val="24"/>
          <w:szCs w:val="24"/>
        </w:rPr>
        <w:t>Neurosci. Res.</w:t>
      </w:r>
      <w:r w:rsidRPr="00C915D3">
        <w:rPr>
          <w:rFonts w:ascii="Arial" w:hAnsi="Arial" w:cs="Arial"/>
          <w:sz w:val="24"/>
          <w:szCs w:val="24"/>
        </w:rPr>
        <w:t xml:space="preserve"> </w:t>
      </w:r>
      <w:r w:rsidRPr="00C915D3">
        <w:rPr>
          <w:rFonts w:ascii="Arial" w:hAnsi="Arial" w:cs="Arial"/>
          <w:bCs/>
          <w:sz w:val="24"/>
          <w:szCs w:val="24"/>
        </w:rPr>
        <w:t xml:space="preserve">48, </w:t>
      </w:r>
      <w:r w:rsidRPr="00C915D3">
        <w:rPr>
          <w:rFonts w:ascii="Arial" w:hAnsi="Arial" w:cs="Arial"/>
          <w:sz w:val="24"/>
          <w:szCs w:val="24"/>
        </w:rPr>
        <w:t>221-227.</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eastAsia="Arial Unicode MS" w:hAnsi="Arial" w:cs="Arial"/>
          <w:sz w:val="24"/>
          <w:szCs w:val="24"/>
        </w:rPr>
      </w:pPr>
      <w:r w:rsidRPr="00C915D3">
        <w:rPr>
          <w:rFonts w:ascii="Arial" w:hAnsi="Arial" w:cs="Arial"/>
          <w:sz w:val="24"/>
          <w:szCs w:val="24"/>
        </w:rPr>
        <w:t xml:space="preserve">Delgado, R., Barla, R., Latorre, R., Labarca, P., 1989.  L-glutamate activates excitatory and inhibitory channels in </w:t>
      </w:r>
      <w:r w:rsidRPr="00C915D3">
        <w:rPr>
          <w:rFonts w:ascii="Arial" w:hAnsi="Arial" w:cs="Arial"/>
          <w:iCs/>
          <w:sz w:val="24"/>
          <w:szCs w:val="24"/>
        </w:rPr>
        <w:t>Drosophila</w:t>
      </w:r>
      <w:r w:rsidRPr="00C915D3">
        <w:rPr>
          <w:rFonts w:ascii="Arial" w:hAnsi="Arial" w:cs="Arial"/>
          <w:sz w:val="24"/>
          <w:szCs w:val="24"/>
        </w:rPr>
        <w:t xml:space="preserve"> larval muscle. </w:t>
      </w:r>
      <w:r w:rsidRPr="00C915D3">
        <w:rPr>
          <w:rFonts w:ascii="Arial" w:hAnsi="Arial" w:cs="Arial"/>
          <w:iCs/>
          <w:sz w:val="24"/>
          <w:szCs w:val="24"/>
        </w:rPr>
        <w:t>FEBS Letters</w:t>
      </w:r>
      <w:r w:rsidRPr="00C915D3">
        <w:rPr>
          <w:rFonts w:ascii="Arial" w:hAnsi="Arial" w:cs="Arial"/>
          <w:sz w:val="24"/>
          <w:szCs w:val="24"/>
        </w:rPr>
        <w:t xml:space="preserve"> </w:t>
      </w:r>
      <w:r w:rsidRPr="00C915D3">
        <w:rPr>
          <w:rFonts w:ascii="Arial" w:hAnsi="Arial" w:cs="Arial"/>
          <w:bCs/>
          <w:sz w:val="24"/>
          <w:szCs w:val="24"/>
        </w:rPr>
        <w:t>243,</w:t>
      </w:r>
      <w:r w:rsidRPr="00C915D3">
        <w:rPr>
          <w:rFonts w:ascii="Arial" w:hAnsi="Arial" w:cs="Arial"/>
          <w:sz w:val="24"/>
          <w:szCs w:val="24"/>
        </w:rPr>
        <w:t xml:space="preserve"> 337-342.</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DiAntonio, A., Petersen, S.A., Heckmann, M., Goodman, C.S., 1999. Glutamate receptor expression regulates quantal size and quantal content at the Drosophila neuromuscular junction. </w:t>
      </w:r>
      <w:r w:rsidRPr="00C915D3">
        <w:rPr>
          <w:rStyle w:val="italics"/>
          <w:rFonts w:ascii="Arial" w:hAnsi="Arial" w:cs="Arial"/>
          <w:sz w:val="24"/>
          <w:szCs w:val="24"/>
        </w:rPr>
        <w:t xml:space="preserve"> J. Neurosci. </w:t>
      </w:r>
      <w:r w:rsidRPr="00C915D3">
        <w:rPr>
          <w:rStyle w:val="bold1"/>
          <w:rFonts w:ascii="Arial" w:hAnsi="Arial" w:cs="Arial"/>
          <w:b w:val="0"/>
          <w:sz w:val="24"/>
          <w:szCs w:val="24"/>
        </w:rPr>
        <w:t>19(8),</w:t>
      </w:r>
      <w:r w:rsidRPr="00C915D3">
        <w:rPr>
          <w:rFonts w:ascii="Arial" w:hAnsi="Arial" w:cs="Arial"/>
          <w:sz w:val="24"/>
          <w:szCs w:val="24"/>
        </w:rPr>
        <w:t xml:space="preserve"> 3023--3032.</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Dingledine, R., Borges, K., Bowie, D., Traynelis, S.F., 1999. The glutamate receptor ion channels. Pharmacol. Rev. 51(1), 7-61.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Dudel, J., Franke, C., Hatt, H., 1992. Rapid activation and desensitization of transmitter-liganded receptor channels by pulses of agonists. Ion Channels (Ed by T. Narahashi) 3rd ed., pp. 207-260. Plenum Press, New York.</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lastRenderedPageBreak/>
        <w:t xml:space="preserve">Egebjerg, J., Bettler, B., Hermans-Borgmeyer, I., Heinemann, S., 1991. Cloning of a cDNA for a glutamate receptor subunit activated by kainate but not AMPA. </w:t>
      </w:r>
      <w:r w:rsidRPr="00C915D3">
        <w:rPr>
          <w:rFonts w:ascii="Arial" w:hAnsi="Arial" w:cs="Arial"/>
          <w:iCs/>
          <w:sz w:val="24"/>
          <w:szCs w:val="24"/>
        </w:rPr>
        <w:t>Nature</w:t>
      </w:r>
      <w:r w:rsidRPr="00C915D3">
        <w:rPr>
          <w:rFonts w:ascii="Arial" w:hAnsi="Arial" w:cs="Arial"/>
          <w:sz w:val="24"/>
          <w:szCs w:val="24"/>
        </w:rPr>
        <w:t xml:space="preserve"> </w:t>
      </w:r>
      <w:r w:rsidRPr="00C915D3">
        <w:rPr>
          <w:rFonts w:ascii="Arial" w:hAnsi="Arial" w:cs="Arial"/>
          <w:bCs/>
          <w:sz w:val="24"/>
          <w:szCs w:val="24"/>
        </w:rPr>
        <w:t>351</w:t>
      </w:r>
      <w:r w:rsidRPr="00C915D3">
        <w:rPr>
          <w:rFonts w:ascii="Arial" w:hAnsi="Arial" w:cs="Arial"/>
          <w:sz w:val="24"/>
          <w:szCs w:val="24"/>
        </w:rPr>
        <w:t>, 745–748.</w:t>
      </w:r>
    </w:p>
    <w:p w:rsidR="006B5EA8" w:rsidRPr="00C915D3" w:rsidRDefault="006B5EA8" w:rsidP="006B5EA8">
      <w:pPr>
        <w:spacing w:after="0" w:line="480" w:lineRule="auto"/>
        <w:jc w:val="both"/>
        <w:rPr>
          <w:rFonts w:ascii="Arial" w:hAnsi="Arial" w:cs="Arial"/>
          <w:bCs/>
          <w:sz w:val="24"/>
          <w:szCs w:val="24"/>
        </w:rPr>
      </w:pPr>
    </w:p>
    <w:p w:rsidR="006B5EA8" w:rsidRPr="00C915D3" w:rsidRDefault="006B5EA8" w:rsidP="006B5EA8">
      <w:pPr>
        <w:spacing w:after="0" w:line="480" w:lineRule="auto"/>
        <w:jc w:val="both"/>
        <w:rPr>
          <w:rStyle w:val="ti2"/>
          <w:rFonts w:ascii="Arial" w:hAnsi="Arial" w:cs="Arial"/>
          <w:sz w:val="24"/>
          <w:szCs w:val="24"/>
        </w:rPr>
      </w:pPr>
      <w:r w:rsidRPr="00C915D3">
        <w:rPr>
          <w:rFonts w:ascii="Arial" w:hAnsi="Arial" w:cs="Arial"/>
          <w:bCs/>
          <w:sz w:val="24"/>
          <w:szCs w:val="24"/>
        </w:rPr>
        <w:t>Eberle, A.N.</w:t>
      </w:r>
      <w:r w:rsidRPr="00C915D3">
        <w:rPr>
          <w:rFonts w:ascii="Arial" w:hAnsi="Arial" w:cs="Arial"/>
          <w:sz w:val="24"/>
          <w:szCs w:val="24"/>
        </w:rPr>
        <w:t xml:space="preserve">, </w:t>
      </w:r>
      <w:r w:rsidRPr="00C915D3">
        <w:rPr>
          <w:rFonts w:ascii="Arial" w:hAnsi="Arial" w:cs="Arial"/>
          <w:bCs/>
          <w:sz w:val="24"/>
          <w:szCs w:val="24"/>
        </w:rPr>
        <w:t>Bódi, J.</w:t>
      </w:r>
      <w:r w:rsidRPr="00C915D3">
        <w:rPr>
          <w:rFonts w:ascii="Arial" w:hAnsi="Arial" w:cs="Arial"/>
          <w:sz w:val="24"/>
          <w:szCs w:val="24"/>
        </w:rPr>
        <w:t xml:space="preserve">, </w:t>
      </w:r>
      <w:r w:rsidRPr="00C915D3">
        <w:rPr>
          <w:rFonts w:ascii="Arial" w:hAnsi="Arial" w:cs="Arial"/>
          <w:bCs/>
          <w:sz w:val="24"/>
          <w:szCs w:val="24"/>
        </w:rPr>
        <w:t>Orosz, G.</w:t>
      </w:r>
      <w:r w:rsidRPr="00C915D3">
        <w:rPr>
          <w:rFonts w:ascii="Arial" w:hAnsi="Arial" w:cs="Arial"/>
          <w:sz w:val="24"/>
          <w:szCs w:val="24"/>
        </w:rPr>
        <w:t xml:space="preserve">, </w:t>
      </w:r>
      <w:r w:rsidRPr="00C915D3">
        <w:rPr>
          <w:rFonts w:ascii="Arial" w:hAnsi="Arial" w:cs="Arial"/>
          <w:bCs/>
          <w:sz w:val="24"/>
          <w:szCs w:val="24"/>
        </w:rPr>
        <w:t>Süli-Vargha, H.</w:t>
      </w:r>
      <w:r w:rsidRPr="00C915D3">
        <w:rPr>
          <w:rFonts w:ascii="Arial" w:hAnsi="Arial" w:cs="Arial"/>
          <w:sz w:val="24"/>
          <w:szCs w:val="24"/>
        </w:rPr>
        <w:t xml:space="preserve">, </w:t>
      </w:r>
      <w:r w:rsidRPr="00C915D3">
        <w:rPr>
          <w:rFonts w:ascii="Arial" w:hAnsi="Arial" w:cs="Arial"/>
          <w:bCs/>
          <w:sz w:val="24"/>
          <w:szCs w:val="24"/>
        </w:rPr>
        <w:t>Jäggin, V.</w:t>
      </w:r>
      <w:r w:rsidRPr="00C915D3">
        <w:rPr>
          <w:rFonts w:ascii="Arial" w:hAnsi="Arial" w:cs="Arial"/>
          <w:sz w:val="24"/>
          <w:szCs w:val="24"/>
        </w:rPr>
        <w:t xml:space="preserve">, </w:t>
      </w:r>
      <w:r w:rsidRPr="00C915D3">
        <w:rPr>
          <w:rFonts w:ascii="Arial" w:hAnsi="Arial" w:cs="Arial"/>
          <w:bCs/>
          <w:sz w:val="24"/>
          <w:szCs w:val="24"/>
        </w:rPr>
        <w:t>Zumsteg, U</w:t>
      </w:r>
      <w:r w:rsidRPr="00C915D3">
        <w:rPr>
          <w:rFonts w:ascii="Arial" w:hAnsi="Arial" w:cs="Arial"/>
          <w:sz w:val="24"/>
          <w:szCs w:val="24"/>
        </w:rPr>
        <w:t xml:space="preserve">., 2001. </w:t>
      </w:r>
      <w:r w:rsidRPr="00C915D3">
        <w:rPr>
          <w:rFonts w:ascii="Arial" w:hAnsi="Arial" w:cs="Arial"/>
          <w:bCs/>
          <w:sz w:val="24"/>
          <w:szCs w:val="24"/>
        </w:rPr>
        <w:t xml:space="preserve">Antagonist and agonist activities of the mouse agouti protein fragment (91-131) at the melanocortin-1 receptor. </w:t>
      </w:r>
      <w:r w:rsidRPr="00C915D3">
        <w:rPr>
          <w:rStyle w:val="ti2"/>
          <w:rFonts w:ascii="Arial" w:hAnsi="Arial" w:cs="Arial"/>
          <w:sz w:val="24"/>
          <w:szCs w:val="24"/>
        </w:rPr>
        <w:t>J. Recept. Signal Transduct Res. 21(1), 25-45.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Featherstone, D.E., Rushton, E., Rohrbough, J., Liebl, F., Karr, J., Sheng, Q., Rodesch, C.K., Broadie, K., 2005. An essential Drosophila glutamate receptor subunit that functions in both central neuropil and neuromuscular junction. J. Neurosci. 25(12), 3199-3208.</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Frerking, M., Schmitz, D., Zhou ,Q., Johansen, J., Nicoll, R.A., 2001. Kainate receptors depress excitatory synaptic transmission at CA3--&gt;CA1 synapses in the hippocampus via a direct presynaptic action. J. Neurosci. 21(9), 2958-2966.</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autoSpaceDE w:val="0"/>
        <w:autoSpaceDN w:val="0"/>
        <w:adjustRightInd w:val="0"/>
        <w:spacing w:after="0" w:line="480" w:lineRule="auto"/>
        <w:rPr>
          <w:rFonts w:ascii="Arial" w:hAnsi="Arial" w:cs="Arial"/>
          <w:sz w:val="24"/>
          <w:szCs w:val="24"/>
        </w:rPr>
      </w:pPr>
      <w:r w:rsidRPr="00C915D3">
        <w:rPr>
          <w:rFonts w:ascii="Arial" w:hAnsi="Arial" w:cs="Arial"/>
          <w:sz w:val="24"/>
          <w:szCs w:val="24"/>
        </w:rPr>
        <w:t>Grabauskas, G., Lancaster, B., O’Connor, V., Wheal, H.V., 2007. Protein kinase signalling requirements for metabotropic actions of kainate receptors. J. Physiol. 579, 363–373.</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lastRenderedPageBreak/>
        <w:t xml:space="preserve">Gration, K.A., Lambert, J.J., Ramsey, R.L., Rand, R.P., Usherwood, P.N., 1981. Agonist potency determination by patch clamp analysis of single glutamate receptors. </w:t>
      </w:r>
      <w:r w:rsidRPr="00C915D3">
        <w:rPr>
          <w:rFonts w:ascii="Arial" w:hAnsi="Arial" w:cs="Arial"/>
          <w:iCs/>
          <w:sz w:val="24"/>
          <w:szCs w:val="24"/>
        </w:rPr>
        <w:t>Brain Res.</w:t>
      </w:r>
      <w:r w:rsidRPr="00C915D3">
        <w:rPr>
          <w:rFonts w:ascii="Arial" w:hAnsi="Arial" w:cs="Arial"/>
          <w:sz w:val="24"/>
          <w:szCs w:val="24"/>
        </w:rPr>
        <w:t xml:space="preserve"> 230, 400-405.</w:t>
      </w:r>
    </w:p>
    <w:p w:rsidR="006B5EA8" w:rsidRPr="00C915D3" w:rsidRDefault="006B5EA8" w:rsidP="006B5EA8">
      <w:pPr>
        <w:pStyle w:val="NormalWeb"/>
        <w:spacing w:line="480" w:lineRule="auto"/>
        <w:jc w:val="both"/>
        <w:rPr>
          <w:rStyle w:val="author1"/>
          <w:rFonts w:ascii="Arial" w:hAnsi="Arial" w:cs="Arial"/>
          <w:color w:val="auto"/>
          <w:sz w:val="24"/>
          <w:szCs w:val="24"/>
        </w:rPr>
      </w:pPr>
    </w:p>
    <w:p w:rsidR="006B5EA8" w:rsidRPr="00C915D3" w:rsidRDefault="006B5EA8" w:rsidP="006B5EA8">
      <w:pPr>
        <w:pStyle w:val="NormalWeb"/>
        <w:spacing w:line="480" w:lineRule="auto"/>
        <w:jc w:val="both"/>
        <w:rPr>
          <w:rStyle w:val="blacksml1"/>
          <w:rFonts w:ascii="Arial" w:hAnsi="Arial" w:cs="Arial"/>
          <w:color w:val="auto"/>
          <w:sz w:val="24"/>
          <w:szCs w:val="24"/>
        </w:rPr>
      </w:pPr>
      <w:r w:rsidRPr="00C915D3">
        <w:rPr>
          <w:rStyle w:val="author1"/>
          <w:rFonts w:ascii="Arial" w:hAnsi="Arial" w:cs="Arial"/>
          <w:color w:val="auto"/>
          <w:sz w:val="24"/>
          <w:szCs w:val="24"/>
        </w:rPr>
        <w:t xml:space="preserve">Guerrero, G., Reiff, D.F., Agarwal, G., Ball, R.W., Borst, A., Goodman, C.S., Isacoff, E.Y., 2005. </w:t>
      </w:r>
      <w:r w:rsidRPr="00C915D3">
        <w:rPr>
          <w:rFonts w:ascii="Arial" w:hAnsi="Arial" w:cs="Arial"/>
        </w:rPr>
        <w:t xml:space="preserve">Heterogeneity in synaptic transmission along a </w:t>
      </w:r>
      <w:r w:rsidRPr="00C915D3">
        <w:rPr>
          <w:rFonts w:ascii="Arial" w:hAnsi="Arial" w:cs="Arial"/>
          <w:iCs/>
        </w:rPr>
        <w:t>Drosophila</w:t>
      </w:r>
      <w:r w:rsidRPr="00C915D3">
        <w:rPr>
          <w:rFonts w:ascii="Arial" w:hAnsi="Arial" w:cs="Arial"/>
        </w:rPr>
        <w:t xml:space="preserve"> larval motor axon. </w:t>
      </w:r>
      <w:r w:rsidRPr="00C915D3">
        <w:rPr>
          <w:rStyle w:val="blacksml1"/>
          <w:rFonts w:ascii="Arial" w:hAnsi="Arial" w:cs="Arial"/>
          <w:iCs/>
          <w:color w:val="auto"/>
          <w:sz w:val="24"/>
          <w:szCs w:val="24"/>
        </w:rPr>
        <w:t>Nature Neuroscience</w:t>
      </w:r>
      <w:r w:rsidRPr="00C915D3">
        <w:rPr>
          <w:rStyle w:val="blacksml1"/>
          <w:rFonts w:ascii="Arial" w:hAnsi="Arial" w:cs="Arial"/>
          <w:color w:val="auto"/>
          <w:sz w:val="24"/>
          <w:szCs w:val="24"/>
        </w:rPr>
        <w:t xml:space="preserve">  </w:t>
      </w:r>
      <w:r w:rsidRPr="00C915D3">
        <w:rPr>
          <w:rStyle w:val="blacksml1"/>
          <w:rFonts w:ascii="Arial" w:hAnsi="Arial" w:cs="Arial"/>
          <w:bCs/>
          <w:color w:val="auto"/>
          <w:sz w:val="24"/>
          <w:szCs w:val="24"/>
        </w:rPr>
        <w:t>8,</w:t>
      </w:r>
      <w:r w:rsidRPr="00C915D3">
        <w:rPr>
          <w:rStyle w:val="blacksml1"/>
          <w:rFonts w:ascii="Arial" w:hAnsi="Arial" w:cs="Arial"/>
          <w:color w:val="auto"/>
          <w:sz w:val="24"/>
          <w:szCs w:val="24"/>
        </w:rPr>
        <w:t xml:space="preserve"> 1188 - 1196.</w:t>
      </w:r>
    </w:p>
    <w:p w:rsidR="006B5EA8" w:rsidRPr="00C915D3" w:rsidRDefault="006B5EA8" w:rsidP="006B5EA8">
      <w:pPr>
        <w:pStyle w:val="NormalWeb"/>
        <w:spacing w:line="480" w:lineRule="auto"/>
        <w:jc w:val="both"/>
        <w:rPr>
          <w:rStyle w:val="blacksml1"/>
          <w:rFonts w:ascii="Arial" w:hAnsi="Arial" w:cs="Arial"/>
          <w:color w:val="auto"/>
          <w:sz w:val="24"/>
          <w:szCs w:val="24"/>
        </w:rPr>
      </w:pPr>
    </w:p>
    <w:p w:rsidR="006B5EA8" w:rsidRPr="00C915D3" w:rsidRDefault="006B5EA8" w:rsidP="006B5EA8">
      <w:pPr>
        <w:pStyle w:val="NormalWeb"/>
        <w:spacing w:line="480" w:lineRule="auto"/>
        <w:jc w:val="both"/>
        <w:rPr>
          <w:rFonts w:ascii="Arial" w:hAnsi="Arial" w:cs="Arial"/>
        </w:rPr>
      </w:pPr>
      <w:r w:rsidRPr="00C915D3">
        <w:rPr>
          <w:rFonts w:ascii="Arial" w:hAnsi="Arial" w:cs="Arial"/>
        </w:rPr>
        <w:t xml:space="preserve">Harrison, D.A., </w:t>
      </w:r>
      <w:r w:rsidRPr="00C915D3">
        <w:rPr>
          <w:rFonts w:ascii="Arial" w:hAnsi="Arial" w:cs="Arial"/>
          <w:bCs/>
        </w:rPr>
        <w:t>Cooper, R.L., 2003.</w:t>
      </w:r>
      <w:r w:rsidRPr="00C915D3">
        <w:rPr>
          <w:rFonts w:ascii="Arial" w:hAnsi="Arial" w:cs="Arial"/>
        </w:rPr>
        <w:t xml:space="preserve"> Characterization of development, behavior, and neuromuscular physiology in the phorid fly: </w:t>
      </w:r>
      <w:r w:rsidRPr="00C915D3">
        <w:rPr>
          <w:rFonts w:ascii="Arial" w:hAnsi="Arial" w:cs="Arial"/>
          <w:i/>
          <w:iCs/>
        </w:rPr>
        <w:t>Megaselia scalaris</w:t>
      </w:r>
      <w:r w:rsidRPr="00C915D3">
        <w:rPr>
          <w:rFonts w:ascii="Arial" w:hAnsi="Arial" w:cs="Arial"/>
        </w:rPr>
        <w:t xml:space="preserve">. </w:t>
      </w:r>
      <w:r w:rsidRPr="00C915D3">
        <w:rPr>
          <w:rFonts w:ascii="Arial" w:hAnsi="Arial" w:cs="Arial"/>
          <w:bCs/>
        </w:rPr>
        <w:t xml:space="preserve">Comp. Biochem. Physiol A. </w:t>
      </w:r>
      <w:r w:rsidRPr="00C915D3">
        <w:rPr>
          <w:rFonts w:ascii="Arial" w:hAnsi="Arial" w:cs="Arial"/>
        </w:rPr>
        <w:t>136, 427-439.</w:t>
      </w:r>
    </w:p>
    <w:p w:rsidR="006B5EA8" w:rsidRPr="00C915D3" w:rsidRDefault="006B5EA8" w:rsidP="006B5EA8">
      <w:pPr>
        <w:pStyle w:val="NormalWeb"/>
        <w:spacing w:line="480" w:lineRule="auto"/>
        <w:jc w:val="both"/>
        <w:rPr>
          <w:rFonts w:ascii="Arial" w:hAnsi="Arial" w:cs="Arial"/>
        </w:rPr>
      </w:pPr>
    </w:p>
    <w:p w:rsidR="006B5EA8" w:rsidRPr="00C915D3" w:rsidRDefault="006B5EA8" w:rsidP="006B5EA8">
      <w:pPr>
        <w:pStyle w:val="NormalWeb"/>
        <w:spacing w:line="480" w:lineRule="auto"/>
        <w:jc w:val="both"/>
        <w:rPr>
          <w:rStyle w:val="blacksml1"/>
          <w:rFonts w:ascii="Arial" w:hAnsi="Arial" w:cs="Arial"/>
          <w:color w:val="auto"/>
          <w:sz w:val="24"/>
          <w:szCs w:val="24"/>
        </w:rPr>
      </w:pPr>
      <w:r w:rsidRPr="00C915D3">
        <w:rPr>
          <w:rFonts w:ascii="Arial" w:hAnsi="Arial" w:cs="Arial"/>
        </w:rPr>
        <w:t xml:space="preserve">He, P., Southard, R.C., Whiteheart, S.W., </w:t>
      </w:r>
      <w:r w:rsidRPr="00C915D3">
        <w:rPr>
          <w:rFonts w:ascii="Arial" w:hAnsi="Arial" w:cs="Arial"/>
          <w:bCs/>
        </w:rPr>
        <w:t>Cooper, R.L.,</w:t>
      </w:r>
      <w:r w:rsidRPr="00C915D3">
        <w:rPr>
          <w:rFonts w:ascii="Arial" w:hAnsi="Arial" w:cs="Arial"/>
        </w:rPr>
        <w:t xml:space="preserve"> </w:t>
      </w:r>
      <w:r w:rsidRPr="00C915D3">
        <w:rPr>
          <w:rFonts w:ascii="Arial" w:hAnsi="Arial" w:cs="Arial"/>
          <w:bCs/>
        </w:rPr>
        <w:t>1999.</w:t>
      </w:r>
      <w:r w:rsidRPr="00C915D3">
        <w:rPr>
          <w:rFonts w:ascii="Arial" w:hAnsi="Arial" w:cs="Arial"/>
        </w:rPr>
        <w:t xml:space="preserve"> Role of alpha-SNAP in promoting efficient neurotransmission at the crayfish neuromuscular junction. </w:t>
      </w:r>
      <w:r w:rsidRPr="00C915D3">
        <w:rPr>
          <w:rFonts w:ascii="Arial" w:hAnsi="Arial" w:cs="Arial"/>
          <w:bCs/>
        </w:rPr>
        <w:t>J. Neurophysiol.</w:t>
      </w:r>
      <w:r w:rsidRPr="00C915D3">
        <w:rPr>
          <w:rFonts w:ascii="Arial" w:hAnsi="Arial" w:cs="Arial"/>
        </w:rPr>
        <w:t xml:space="preserve"> 82, 3406-3416.</w:t>
      </w:r>
    </w:p>
    <w:p w:rsidR="006B5EA8" w:rsidRPr="00C915D3" w:rsidRDefault="006B5EA8" w:rsidP="006B5EA8">
      <w:pPr>
        <w:pStyle w:val="NormalWeb"/>
        <w:spacing w:line="480" w:lineRule="auto"/>
        <w:jc w:val="both"/>
        <w:rPr>
          <w:rStyle w:val="blacksml1"/>
          <w:rFonts w:ascii="Arial" w:hAnsi="Arial" w:cs="Arial"/>
          <w:color w:val="auto"/>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Heckmann, M., Dudel, J., 1997. Desensitization and resensitization kinetics of glutamate receptor channels from Drosophila larval muscle. Biophys J. 72(5), 2160-2169.</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 xml:space="preserve">Hegarty, D.M., Mitchell, J.L., Swanson, K.C., Aicher, S.A., 2007. Kainate receptors are primarily postsynaptic to SP-containing axon terminals in the trigeminal dorsal horn. </w:t>
      </w:r>
      <w:r w:rsidRPr="00C915D3">
        <w:rPr>
          <w:rFonts w:ascii="Arial" w:hAnsi="Arial" w:cs="Arial"/>
          <w:iCs/>
          <w:sz w:val="24"/>
          <w:szCs w:val="24"/>
        </w:rPr>
        <w:t>Brain Res.</w:t>
      </w:r>
      <w:r w:rsidRPr="00C915D3">
        <w:rPr>
          <w:rFonts w:ascii="Arial" w:hAnsi="Arial" w:cs="Arial"/>
          <w:sz w:val="24"/>
          <w:szCs w:val="24"/>
        </w:rPr>
        <w:t xml:space="preserve"> 1184, 149-159.</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Hollman, M., Hainemann, S., 1994. Cloned glutamate receptors. Annu. Rev. Neurosci. 17, 31-108.</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Holscher, C., Anwyl, R., Rowan, M.</w:t>
      </w:r>
      <w:r w:rsidRPr="00C915D3">
        <w:rPr>
          <w:rFonts w:ascii="Arial" w:hAnsi="Arial" w:cs="Arial"/>
          <w:sz w:val="24"/>
          <w:szCs w:val="24"/>
          <w:vertAlign w:val="superscript"/>
        </w:rPr>
        <w:t xml:space="preserve"> </w:t>
      </w:r>
      <w:r w:rsidRPr="00C915D3">
        <w:rPr>
          <w:rFonts w:ascii="Arial" w:hAnsi="Arial" w:cs="Arial"/>
          <w:sz w:val="24"/>
          <w:szCs w:val="24"/>
        </w:rPr>
        <w:t>J., 1997. Activation of group-II</w:t>
      </w:r>
      <w:r w:rsidRPr="00C915D3">
        <w:rPr>
          <w:rFonts w:ascii="Arial" w:hAnsi="Arial" w:cs="Arial"/>
          <w:sz w:val="24"/>
          <w:szCs w:val="24"/>
          <w:vertAlign w:val="superscript"/>
        </w:rPr>
        <w:t xml:space="preserve"> </w:t>
      </w:r>
      <w:r w:rsidRPr="00C915D3">
        <w:rPr>
          <w:rFonts w:ascii="Arial" w:hAnsi="Arial" w:cs="Arial"/>
          <w:sz w:val="24"/>
          <w:szCs w:val="24"/>
        </w:rPr>
        <w:t>metabotropic glutamate receptors blocks induction of long term</w:t>
      </w:r>
      <w:r w:rsidRPr="00C915D3">
        <w:rPr>
          <w:rFonts w:ascii="Arial" w:hAnsi="Arial" w:cs="Arial"/>
          <w:sz w:val="24"/>
          <w:szCs w:val="24"/>
          <w:vertAlign w:val="superscript"/>
        </w:rPr>
        <w:t xml:space="preserve"> </w:t>
      </w:r>
      <w:r w:rsidRPr="00C915D3">
        <w:rPr>
          <w:rFonts w:ascii="Arial" w:hAnsi="Arial" w:cs="Arial"/>
          <w:sz w:val="24"/>
          <w:szCs w:val="24"/>
        </w:rPr>
        <w:t xml:space="preserve">potentiation and depotentiation in area CA1 of the rat in vivo. </w:t>
      </w:r>
      <w:r w:rsidRPr="00C915D3">
        <w:rPr>
          <w:rFonts w:ascii="Arial" w:hAnsi="Arial" w:cs="Arial"/>
          <w:iCs/>
          <w:sz w:val="24"/>
          <w:szCs w:val="24"/>
        </w:rPr>
        <w:t>Eur.</w:t>
      </w:r>
      <w:r w:rsidRPr="00C915D3">
        <w:rPr>
          <w:rFonts w:ascii="Arial" w:hAnsi="Arial" w:cs="Arial"/>
          <w:iCs/>
          <w:sz w:val="24"/>
          <w:szCs w:val="24"/>
          <w:vertAlign w:val="superscript"/>
        </w:rPr>
        <w:t xml:space="preserve"> </w:t>
      </w:r>
      <w:r w:rsidRPr="00C915D3">
        <w:rPr>
          <w:rFonts w:ascii="Arial" w:hAnsi="Arial" w:cs="Arial"/>
          <w:iCs/>
          <w:sz w:val="24"/>
          <w:szCs w:val="24"/>
        </w:rPr>
        <w:t>J. Pharmacol.</w:t>
      </w:r>
      <w:r w:rsidRPr="00C915D3">
        <w:rPr>
          <w:rFonts w:ascii="Arial" w:hAnsi="Arial" w:cs="Arial"/>
          <w:sz w:val="24"/>
          <w:szCs w:val="24"/>
        </w:rPr>
        <w:t xml:space="preserve"> 322, 155-163.</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Hruby, V.J., Agnes, R.S., Davis, P., Ma, S.W., Lee, Y.S., Vanderah, T.W., Lai, J., Porreca, F., 2003. Design of novel peptide ligands which have opioid agonist activity and CCK antagonist activity for the treatment of pain. Life Sci. 73(6), 699-704.</w:t>
      </w:r>
    </w:p>
    <w:p w:rsidR="006B5EA8" w:rsidRPr="00C915D3" w:rsidRDefault="006B5EA8" w:rsidP="006B5EA8">
      <w:pPr>
        <w:spacing w:after="0" w:line="480" w:lineRule="auto"/>
        <w:jc w:val="both"/>
        <w:rPr>
          <w:rFonts w:ascii="Arial" w:hAnsi="Arial" w:cs="Arial"/>
          <w:sz w:val="24"/>
          <w:szCs w:val="24"/>
          <w:lang w:val="en-CA"/>
        </w:rPr>
      </w:pPr>
    </w:p>
    <w:p w:rsidR="006B5EA8" w:rsidRPr="00C915D3" w:rsidRDefault="006B5EA8" w:rsidP="006B5EA8">
      <w:pPr>
        <w:spacing w:after="0" w:line="480" w:lineRule="auto"/>
        <w:jc w:val="both"/>
        <w:rPr>
          <w:rFonts w:ascii="Arial" w:hAnsi="Arial" w:cs="Arial"/>
          <w:sz w:val="24"/>
          <w:szCs w:val="24"/>
          <w:lang w:val="en-CA"/>
        </w:rPr>
      </w:pPr>
      <w:r w:rsidRPr="00C915D3">
        <w:rPr>
          <w:rFonts w:ascii="Arial" w:hAnsi="Arial" w:cs="Arial"/>
          <w:sz w:val="24"/>
          <w:szCs w:val="24"/>
          <w:lang w:val="en-CA"/>
        </w:rPr>
        <w:t xml:space="preserve">Jan, L.Y., Jan, Y.N., 1976. Properties of the larval neuromuscular junction in </w:t>
      </w:r>
      <w:r w:rsidRPr="00C915D3">
        <w:rPr>
          <w:rFonts w:ascii="Arial" w:hAnsi="Arial" w:cs="Arial"/>
          <w:iCs/>
          <w:sz w:val="24"/>
          <w:szCs w:val="24"/>
          <w:lang w:val="en-CA"/>
        </w:rPr>
        <w:t>Drosophila melanogaster</w:t>
      </w:r>
      <w:r w:rsidRPr="00C915D3">
        <w:rPr>
          <w:rFonts w:ascii="Arial" w:hAnsi="Arial" w:cs="Arial"/>
          <w:sz w:val="24"/>
          <w:szCs w:val="24"/>
          <w:lang w:val="en-CA"/>
        </w:rPr>
        <w:t xml:space="preserve">. </w:t>
      </w:r>
      <w:r w:rsidRPr="00C915D3">
        <w:rPr>
          <w:rFonts w:ascii="Arial" w:hAnsi="Arial" w:cs="Arial"/>
          <w:iCs/>
          <w:sz w:val="24"/>
          <w:szCs w:val="24"/>
          <w:lang w:val="en-CA"/>
        </w:rPr>
        <w:t xml:space="preserve">J. Physiol. </w:t>
      </w:r>
      <w:r w:rsidRPr="00C915D3">
        <w:rPr>
          <w:rFonts w:ascii="Arial" w:hAnsi="Arial" w:cs="Arial"/>
          <w:sz w:val="24"/>
          <w:szCs w:val="24"/>
          <w:lang w:val="en-CA"/>
        </w:rPr>
        <w:t xml:space="preserve"> </w:t>
      </w:r>
      <w:r w:rsidRPr="00C915D3">
        <w:rPr>
          <w:rFonts w:ascii="Arial" w:hAnsi="Arial" w:cs="Arial"/>
          <w:bCs/>
          <w:sz w:val="24"/>
          <w:szCs w:val="24"/>
          <w:lang w:val="en-CA"/>
        </w:rPr>
        <w:t xml:space="preserve">262, </w:t>
      </w:r>
      <w:r w:rsidRPr="00C915D3">
        <w:rPr>
          <w:rFonts w:ascii="Arial" w:hAnsi="Arial" w:cs="Arial"/>
          <w:sz w:val="24"/>
          <w:szCs w:val="24"/>
          <w:lang w:val="en-CA"/>
        </w:rPr>
        <w:t>189-214.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Kamiya, H., Ozawa, S., 1998. Kainate receptor-mediated inhibition of presynaptic Ca2+ influx and EPSP in area CA1 of the rat hippocampus. J. Physiol. 509, 833-845.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Kamiya, H., Ozawa, S., 2000. Kainate receptor-mediated presynaptic inhibition at the mouse hippocampal mossy fibre synapse. </w:t>
      </w:r>
      <w:r w:rsidRPr="00C915D3">
        <w:rPr>
          <w:rFonts w:ascii="Arial" w:hAnsi="Arial" w:cs="Arial"/>
          <w:iCs/>
          <w:sz w:val="24"/>
          <w:szCs w:val="24"/>
        </w:rPr>
        <w:t>J. Physiol.</w:t>
      </w:r>
      <w:r w:rsidRPr="00C915D3">
        <w:rPr>
          <w:rFonts w:ascii="Arial" w:hAnsi="Arial" w:cs="Arial"/>
          <w:sz w:val="24"/>
          <w:szCs w:val="24"/>
        </w:rPr>
        <w:t xml:space="preserve"> </w:t>
      </w:r>
      <w:r w:rsidRPr="00C915D3">
        <w:rPr>
          <w:rFonts w:ascii="Arial" w:hAnsi="Arial" w:cs="Arial"/>
          <w:bCs/>
          <w:sz w:val="24"/>
          <w:szCs w:val="24"/>
        </w:rPr>
        <w:t xml:space="preserve">523, </w:t>
      </w:r>
      <w:r w:rsidRPr="00C915D3">
        <w:rPr>
          <w:rFonts w:ascii="Arial" w:hAnsi="Arial" w:cs="Arial"/>
          <w:sz w:val="24"/>
          <w:szCs w:val="24"/>
        </w:rPr>
        <w:t>653-665.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lang w:val="en-CA"/>
        </w:rPr>
      </w:pPr>
      <w:r w:rsidRPr="00C915D3">
        <w:rPr>
          <w:rFonts w:ascii="Arial" w:hAnsi="Arial" w:cs="Arial"/>
          <w:sz w:val="24"/>
          <w:szCs w:val="24"/>
        </w:rPr>
        <w:lastRenderedPageBreak/>
        <w:t xml:space="preserve">Kamiya, H., Ozawa, S., Manabe, T., 2002. Kainate receptor-dependent short-term plasticity of presynaptic Ca2+ influx at the hippocampal mossy fiber synapses. </w:t>
      </w:r>
      <w:r w:rsidRPr="00C915D3">
        <w:rPr>
          <w:rFonts w:ascii="Arial" w:hAnsi="Arial" w:cs="Arial"/>
          <w:iCs/>
          <w:sz w:val="24"/>
          <w:szCs w:val="24"/>
        </w:rPr>
        <w:t xml:space="preserve">J. Neurosci. </w:t>
      </w:r>
      <w:r w:rsidRPr="00C915D3">
        <w:rPr>
          <w:rFonts w:ascii="Arial" w:hAnsi="Arial" w:cs="Arial"/>
          <w:sz w:val="24"/>
          <w:szCs w:val="24"/>
        </w:rPr>
        <w:t xml:space="preserve"> </w:t>
      </w:r>
      <w:r w:rsidRPr="00C915D3">
        <w:rPr>
          <w:rFonts w:ascii="Arial" w:hAnsi="Arial" w:cs="Arial"/>
          <w:bCs/>
          <w:sz w:val="24"/>
          <w:szCs w:val="24"/>
        </w:rPr>
        <w:t xml:space="preserve">22, </w:t>
      </w:r>
      <w:r w:rsidRPr="00C915D3">
        <w:rPr>
          <w:rFonts w:ascii="Arial" w:hAnsi="Arial" w:cs="Arial"/>
          <w:sz w:val="24"/>
          <w:szCs w:val="24"/>
        </w:rPr>
        <w:t>9237-9243.</w:t>
      </w:r>
      <w:r w:rsidRPr="00C915D3">
        <w:rPr>
          <w:rFonts w:ascii="Arial" w:hAnsi="Arial" w:cs="Arial"/>
          <w:sz w:val="24"/>
          <w:szCs w:val="24"/>
          <w:lang w:val="en-CA"/>
        </w:rPr>
        <w:t xml:space="preserve"> </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lang w:val="en-CA"/>
        </w:rPr>
      </w:pPr>
      <w:r w:rsidRPr="00C915D3">
        <w:rPr>
          <w:rFonts w:ascii="Arial" w:hAnsi="Arial" w:cs="Arial"/>
          <w:sz w:val="24"/>
          <w:szCs w:val="24"/>
        </w:rPr>
        <w:t>Kerchner, G.A., Wilding, T.J., Li, P., Zhuo, M., Huettner, J.E., 2001. Presynaptic kainate receptors regulate spinal sensory transmission.  J. Neurosci. 21(1), 59-66.</w:t>
      </w:r>
    </w:p>
    <w:p w:rsidR="006B5EA8" w:rsidRPr="00C915D3" w:rsidRDefault="006B5EA8" w:rsidP="006B5EA8">
      <w:pPr>
        <w:spacing w:after="0" w:line="480" w:lineRule="auto"/>
        <w:jc w:val="both"/>
        <w:rPr>
          <w:rFonts w:ascii="Arial" w:hAnsi="Arial" w:cs="Arial"/>
          <w:sz w:val="24"/>
          <w:szCs w:val="24"/>
          <w:lang w:val="en-CA"/>
        </w:rPr>
      </w:pPr>
    </w:p>
    <w:p w:rsidR="006B5EA8" w:rsidRPr="00C915D3" w:rsidRDefault="006B5EA8" w:rsidP="006B5EA8">
      <w:pPr>
        <w:spacing w:after="0" w:line="480" w:lineRule="auto"/>
        <w:jc w:val="both"/>
        <w:rPr>
          <w:rFonts w:ascii="Arial" w:hAnsi="Arial" w:cs="Arial"/>
          <w:sz w:val="24"/>
          <w:szCs w:val="24"/>
          <w:lang w:val="en-CA"/>
        </w:rPr>
      </w:pPr>
      <w:r w:rsidRPr="00C915D3">
        <w:rPr>
          <w:rFonts w:ascii="Arial" w:hAnsi="Arial" w:cs="Arial"/>
          <w:sz w:val="24"/>
          <w:szCs w:val="24"/>
          <w:lang w:val="en-CA"/>
        </w:rPr>
        <w:t xml:space="preserve">Kurdyak, P., Atwood, H.L., Stewart, B.A., Wu, C.F., 1994. Differential physiology and morphology of motor axons to ventral longitudinal muscle in larval </w:t>
      </w:r>
      <w:r w:rsidRPr="00C915D3">
        <w:rPr>
          <w:rFonts w:ascii="Arial" w:hAnsi="Arial" w:cs="Arial"/>
          <w:iCs/>
          <w:sz w:val="24"/>
          <w:szCs w:val="24"/>
          <w:lang w:val="en-CA"/>
        </w:rPr>
        <w:t>Drosophila</w:t>
      </w:r>
      <w:r w:rsidRPr="00C915D3">
        <w:rPr>
          <w:rFonts w:ascii="Arial" w:hAnsi="Arial" w:cs="Arial"/>
          <w:sz w:val="24"/>
          <w:szCs w:val="24"/>
          <w:lang w:val="en-CA"/>
        </w:rPr>
        <w:t xml:space="preserve">. </w:t>
      </w:r>
      <w:r w:rsidRPr="00C915D3">
        <w:rPr>
          <w:rFonts w:ascii="Arial" w:hAnsi="Arial" w:cs="Arial"/>
          <w:iCs/>
          <w:sz w:val="24"/>
          <w:szCs w:val="24"/>
          <w:lang w:val="en-CA"/>
        </w:rPr>
        <w:t>J. Comp. Neurol.</w:t>
      </w:r>
      <w:r w:rsidRPr="00C915D3">
        <w:rPr>
          <w:rFonts w:ascii="Arial" w:hAnsi="Arial" w:cs="Arial"/>
          <w:sz w:val="24"/>
          <w:szCs w:val="24"/>
          <w:lang w:val="en-CA"/>
        </w:rPr>
        <w:t xml:space="preserve"> </w:t>
      </w:r>
      <w:r w:rsidRPr="00C915D3">
        <w:rPr>
          <w:rFonts w:ascii="Arial" w:hAnsi="Arial" w:cs="Arial"/>
          <w:bCs/>
          <w:sz w:val="24"/>
          <w:szCs w:val="24"/>
          <w:lang w:val="en-CA"/>
        </w:rPr>
        <w:t xml:space="preserve">350, </w:t>
      </w:r>
      <w:r w:rsidRPr="00C915D3">
        <w:rPr>
          <w:rFonts w:ascii="Arial" w:hAnsi="Arial" w:cs="Arial"/>
          <w:sz w:val="24"/>
          <w:szCs w:val="24"/>
          <w:lang w:val="en-CA"/>
        </w:rPr>
        <w:t>463-472.</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Lerma, J., 2003. Roles and rules of kainate receptors in synaptic transmission.</w:t>
      </w:r>
      <w:r w:rsidRPr="00C915D3">
        <w:rPr>
          <w:rFonts w:ascii="Arial" w:hAnsi="Arial" w:cs="Arial"/>
          <w:sz w:val="24"/>
          <w:szCs w:val="24"/>
        </w:rPr>
        <w:br/>
        <w:t>Nat. Rev. Neurosci. 4(6), 481-495.</w:t>
      </w:r>
    </w:p>
    <w:p w:rsidR="006B5EA8" w:rsidRPr="00C915D3" w:rsidRDefault="006B5EA8" w:rsidP="006B5EA8">
      <w:pPr>
        <w:spacing w:after="0" w:line="480" w:lineRule="auto"/>
        <w:jc w:val="both"/>
        <w:rPr>
          <w:rFonts w:ascii="Arial" w:hAnsi="Arial" w:cs="Arial"/>
          <w:bCs/>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bCs/>
          <w:sz w:val="24"/>
          <w:szCs w:val="24"/>
        </w:rPr>
        <w:t>Lee, C.J.</w:t>
      </w:r>
      <w:r w:rsidRPr="00C915D3">
        <w:rPr>
          <w:rFonts w:ascii="Arial" w:hAnsi="Arial" w:cs="Arial"/>
          <w:sz w:val="24"/>
          <w:szCs w:val="24"/>
        </w:rPr>
        <w:t xml:space="preserve">, </w:t>
      </w:r>
      <w:r w:rsidRPr="00C915D3">
        <w:rPr>
          <w:rFonts w:ascii="Arial" w:hAnsi="Arial" w:cs="Arial"/>
          <w:bCs/>
          <w:sz w:val="24"/>
          <w:szCs w:val="24"/>
        </w:rPr>
        <w:t>Kong, H.</w:t>
      </w:r>
      <w:r w:rsidRPr="00C915D3">
        <w:rPr>
          <w:rFonts w:ascii="Arial" w:hAnsi="Arial" w:cs="Arial"/>
          <w:sz w:val="24"/>
          <w:szCs w:val="24"/>
        </w:rPr>
        <w:t xml:space="preserve">, </w:t>
      </w:r>
      <w:r w:rsidRPr="00C915D3">
        <w:rPr>
          <w:rFonts w:ascii="Arial" w:hAnsi="Arial" w:cs="Arial"/>
          <w:bCs/>
          <w:sz w:val="24"/>
          <w:szCs w:val="24"/>
        </w:rPr>
        <w:t>Manzini, M.C.</w:t>
      </w:r>
      <w:r w:rsidRPr="00C915D3">
        <w:rPr>
          <w:rFonts w:ascii="Arial" w:hAnsi="Arial" w:cs="Arial"/>
          <w:sz w:val="24"/>
          <w:szCs w:val="24"/>
        </w:rPr>
        <w:t xml:space="preserve">, </w:t>
      </w:r>
      <w:r w:rsidRPr="00C915D3">
        <w:rPr>
          <w:rFonts w:ascii="Arial" w:hAnsi="Arial" w:cs="Arial"/>
          <w:bCs/>
          <w:sz w:val="24"/>
          <w:szCs w:val="24"/>
        </w:rPr>
        <w:t>Albuquerque, C.</w:t>
      </w:r>
      <w:r w:rsidRPr="00C915D3">
        <w:rPr>
          <w:rFonts w:ascii="Arial" w:hAnsi="Arial" w:cs="Arial"/>
          <w:sz w:val="24"/>
          <w:szCs w:val="24"/>
        </w:rPr>
        <w:t xml:space="preserve">, </w:t>
      </w:r>
      <w:r w:rsidRPr="00C915D3">
        <w:rPr>
          <w:rFonts w:ascii="Arial" w:hAnsi="Arial" w:cs="Arial"/>
          <w:bCs/>
          <w:sz w:val="24"/>
          <w:szCs w:val="24"/>
        </w:rPr>
        <w:t>Chao, M.V.</w:t>
      </w:r>
      <w:r w:rsidRPr="00C915D3">
        <w:rPr>
          <w:rFonts w:ascii="Arial" w:hAnsi="Arial" w:cs="Arial"/>
          <w:sz w:val="24"/>
          <w:szCs w:val="24"/>
        </w:rPr>
        <w:t xml:space="preserve">, </w:t>
      </w:r>
      <w:r w:rsidRPr="00C915D3">
        <w:rPr>
          <w:rFonts w:ascii="Arial" w:hAnsi="Arial" w:cs="Arial"/>
          <w:bCs/>
          <w:sz w:val="24"/>
          <w:szCs w:val="24"/>
        </w:rPr>
        <w:t>MacDermott, A.B., 2001.</w:t>
      </w:r>
      <w:r w:rsidRPr="00C915D3">
        <w:rPr>
          <w:rFonts w:ascii="Arial" w:hAnsi="Arial" w:cs="Arial"/>
          <w:sz w:val="24"/>
          <w:szCs w:val="24"/>
        </w:rPr>
        <w:t xml:space="preserve"> Kainate receptors expressed by a subpopulation of developing nociceptors rapidly switch from high to low Ca2+ permeability. </w:t>
      </w:r>
      <w:r w:rsidRPr="00C915D3">
        <w:rPr>
          <w:rStyle w:val="ti"/>
          <w:rFonts w:ascii="Arial" w:hAnsi="Arial" w:cs="Arial"/>
          <w:sz w:val="24"/>
          <w:szCs w:val="24"/>
        </w:rPr>
        <w:t>J. Neurosci. 21(13), 4572-4581.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Li, H., Cooper, R.L., 2001. Maintaining synaptic efficacy at the neuromuscular junction in </w:t>
      </w:r>
      <w:r w:rsidRPr="00C915D3">
        <w:rPr>
          <w:rFonts w:ascii="Arial" w:hAnsi="Arial" w:cs="Arial"/>
          <w:iCs/>
          <w:sz w:val="24"/>
          <w:szCs w:val="24"/>
        </w:rPr>
        <w:t>Drosophila</w:t>
      </w:r>
      <w:r w:rsidRPr="00C915D3">
        <w:rPr>
          <w:rFonts w:ascii="Arial" w:hAnsi="Arial" w:cs="Arial"/>
          <w:sz w:val="24"/>
          <w:szCs w:val="24"/>
        </w:rPr>
        <w:t xml:space="preserve"> larva during normal development and prolonged life with the ecdysoneless mutant. Neurosci. 106, 193-200.</w:t>
      </w:r>
    </w:p>
    <w:p w:rsidR="006B5EA8" w:rsidRPr="00C915D3" w:rsidRDefault="006B5EA8" w:rsidP="006B5EA8">
      <w:pPr>
        <w:spacing w:after="0" w:line="480" w:lineRule="auto"/>
        <w:jc w:val="both"/>
        <w:rPr>
          <w:rFonts w:ascii="Arial" w:hAnsi="Arial" w:cs="Arial"/>
          <w:sz w:val="24"/>
          <w:szCs w:val="24"/>
          <w:lang w:val="en-GB"/>
        </w:rPr>
      </w:pPr>
    </w:p>
    <w:p w:rsidR="006B5EA8" w:rsidRPr="00C915D3" w:rsidRDefault="006B5EA8" w:rsidP="006B5EA8">
      <w:pPr>
        <w:spacing w:after="0" w:line="480" w:lineRule="auto"/>
        <w:jc w:val="both"/>
        <w:rPr>
          <w:rFonts w:ascii="Arial" w:hAnsi="Arial" w:cs="Arial"/>
          <w:sz w:val="24"/>
          <w:szCs w:val="24"/>
          <w:lang w:val="en-GB"/>
        </w:rPr>
      </w:pPr>
      <w:r w:rsidRPr="00C915D3">
        <w:rPr>
          <w:rFonts w:ascii="Arial" w:hAnsi="Arial" w:cs="Arial"/>
          <w:sz w:val="24"/>
          <w:szCs w:val="24"/>
          <w:lang w:val="en-GB"/>
        </w:rPr>
        <w:lastRenderedPageBreak/>
        <w:t xml:space="preserve">Li, H., Peng, X., Cooper, R.L., 2002. Development of </w:t>
      </w:r>
      <w:r w:rsidRPr="00C915D3">
        <w:rPr>
          <w:rFonts w:ascii="Arial" w:hAnsi="Arial" w:cs="Arial"/>
          <w:iCs/>
          <w:sz w:val="24"/>
          <w:szCs w:val="24"/>
          <w:lang w:val="en-GB"/>
        </w:rPr>
        <w:t>Drosophila</w:t>
      </w:r>
      <w:r w:rsidRPr="00C915D3">
        <w:rPr>
          <w:rFonts w:ascii="Arial" w:hAnsi="Arial" w:cs="Arial"/>
          <w:sz w:val="24"/>
          <w:szCs w:val="24"/>
          <w:lang w:val="en-GB"/>
        </w:rPr>
        <w:t xml:space="preserve"> larval neuromuscular junctions: Maintaining synaptic strength. </w:t>
      </w:r>
      <w:r w:rsidRPr="00C915D3">
        <w:rPr>
          <w:rFonts w:ascii="Arial" w:hAnsi="Arial" w:cs="Arial"/>
          <w:iCs/>
          <w:sz w:val="24"/>
          <w:szCs w:val="24"/>
          <w:lang w:val="en-GB"/>
        </w:rPr>
        <w:t>Neurosci.</w:t>
      </w:r>
      <w:r w:rsidRPr="00C915D3">
        <w:rPr>
          <w:rFonts w:ascii="Arial" w:hAnsi="Arial" w:cs="Arial"/>
          <w:sz w:val="24"/>
          <w:szCs w:val="24"/>
          <w:lang w:val="en-GB"/>
        </w:rPr>
        <w:t xml:space="preserve"> </w:t>
      </w:r>
      <w:r w:rsidRPr="00C915D3">
        <w:rPr>
          <w:rFonts w:ascii="Arial" w:hAnsi="Arial" w:cs="Arial"/>
          <w:bCs/>
          <w:sz w:val="24"/>
          <w:szCs w:val="24"/>
        </w:rPr>
        <w:t xml:space="preserve">115, </w:t>
      </w:r>
      <w:r w:rsidRPr="00C915D3">
        <w:rPr>
          <w:rFonts w:ascii="Arial" w:hAnsi="Arial" w:cs="Arial"/>
          <w:sz w:val="24"/>
          <w:szCs w:val="24"/>
        </w:rPr>
        <w:t>505-513</w:t>
      </w:r>
      <w:r w:rsidRPr="00C915D3">
        <w:rPr>
          <w:rFonts w:ascii="Arial" w:hAnsi="Arial" w:cs="Arial"/>
          <w:sz w:val="24"/>
          <w:szCs w:val="24"/>
          <w:lang w:val="en-GB"/>
        </w:rPr>
        <w:t>.</w:t>
      </w:r>
    </w:p>
    <w:p w:rsidR="006B5EA8" w:rsidRPr="00C915D3" w:rsidRDefault="006B5EA8" w:rsidP="006B5EA8">
      <w:pPr>
        <w:spacing w:after="0" w:line="480" w:lineRule="auto"/>
        <w:jc w:val="both"/>
        <w:rPr>
          <w:rFonts w:ascii="Arial" w:hAnsi="Arial" w:cs="Arial"/>
          <w:sz w:val="24"/>
          <w:szCs w:val="24"/>
          <w:lang w:val="en-GB"/>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Liebl, F.L., Featherstone, D.E., 2005. Genes involved in Drosophila glutamate receptor expression and localization. </w:t>
      </w:r>
      <w:r w:rsidRPr="00C915D3">
        <w:rPr>
          <w:rStyle w:val="journalname"/>
          <w:rFonts w:ascii="Arial" w:hAnsi="Arial" w:cs="Arial"/>
          <w:sz w:val="24"/>
          <w:szCs w:val="24"/>
        </w:rPr>
        <w:t>BMC Neurosci</w:t>
      </w:r>
      <w:r w:rsidRPr="00C915D3">
        <w:rPr>
          <w:rFonts w:ascii="Arial" w:hAnsi="Arial" w:cs="Arial"/>
          <w:sz w:val="24"/>
          <w:szCs w:val="24"/>
        </w:rPr>
        <w:t>. 6, 44.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Littleton, J.T., Ganetzky, B., 2000. Ion channels and synaptic organization: analysis of the </w:t>
      </w:r>
      <w:r w:rsidRPr="00C915D3">
        <w:rPr>
          <w:rFonts w:ascii="Arial" w:hAnsi="Arial" w:cs="Arial"/>
          <w:iCs/>
          <w:sz w:val="24"/>
          <w:szCs w:val="24"/>
        </w:rPr>
        <w:t>Drosophila</w:t>
      </w:r>
      <w:r w:rsidRPr="00C915D3">
        <w:rPr>
          <w:rFonts w:ascii="Arial" w:hAnsi="Arial" w:cs="Arial"/>
          <w:sz w:val="24"/>
          <w:szCs w:val="24"/>
        </w:rPr>
        <w:t xml:space="preserve"> genome.  </w:t>
      </w:r>
      <w:r w:rsidRPr="00C915D3">
        <w:rPr>
          <w:rFonts w:ascii="Arial" w:hAnsi="Arial" w:cs="Arial"/>
          <w:iCs/>
          <w:sz w:val="24"/>
          <w:szCs w:val="24"/>
        </w:rPr>
        <w:t>Neuron</w:t>
      </w:r>
      <w:r w:rsidRPr="00C915D3">
        <w:rPr>
          <w:rFonts w:ascii="Arial" w:hAnsi="Arial" w:cs="Arial"/>
          <w:sz w:val="24"/>
          <w:szCs w:val="24"/>
        </w:rPr>
        <w:t xml:space="preserve"> 26, 35-43.</w:t>
      </w:r>
    </w:p>
    <w:p w:rsidR="006B5EA8" w:rsidRPr="00C915D3" w:rsidRDefault="006B5EA8" w:rsidP="006B5EA8">
      <w:pPr>
        <w:spacing w:after="0" w:line="480" w:lineRule="auto"/>
        <w:rPr>
          <w:rFonts w:ascii="Arial" w:hAnsi="Arial" w:cs="Arial"/>
          <w:sz w:val="24"/>
          <w:szCs w:val="24"/>
        </w:rPr>
      </w:pPr>
    </w:p>
    <w:p w:rsidR="006B5EA8" w:rsidRDefault="006B5EA8" w:rsidP="0084686F">
      <w:pPr>
        <w:spacing w:after="0" w:line="480" w:lineRule="auto"/>
        <w:jc w:val="both"/>
        <w:rPr>
          <w:rFonts w:ascii="Arial" w:hAnsi="Arial" w:cs="Arial"/>
          <w:sz w:val="24"/>
          <w:szCs w:val="24"/>
        </w:rPr>
      </w:pPr>
      <w:r w:rsidRPr="00C915D3">
        <w:rPr>
          <w:rFonts w:ascii="Arial" w:hAnsi="Arial" w:cs="Arial"/>
          <w:sz w:val="24"/>
          <w:szCs w:val="24"/>
        </w:rPr>
        <w:t xml:space="preserve">Lipsky, R.H., Goldman, D., 2003. Genomics and variation of ionotropic glutamate receptors. </w:t>
      </w:r>
      <w:r w:rsidRPr="00C915D3">
        <w:rPr>
          <w:rStyle w:val="journal8"/>
          <w:rFonts w:ascii="Arial" w:hAnsi="Arial" w:cs="Arial"/>
          <w:i w:val="0"/>
          <w:sz w:val="24"/>
          <w:szCs w:val="24"/>
        </w:rPr>
        <w:t>Ann. NY Acad. Sci.</w:t>
      </w:r>
      <w:r w:rsidRPr="00C915D3">
        <w:rPr>
          <w:rFonts w:ascii="Arial" w:hAnsi="Arial" w:cs="Arial"/>
          <w:sz w:val="24"/>
          <w:szCs w:val="24"/>
        </w:rPr>
        <w:t xml:space="preserve"> </w:t>
      </w:r>
      <w:r w:rsidRPr="00C915D3">
        <w:rPr>
          <w:rStyle w:val="jnumber1"/>
          <w:rFonts w:ascii="Arial" w:hAnsi="Arial" w:cs="Arial"/>
          <w:b w:val="0"/>
          <w:sz w:val="24"/>
          <w:szCs w:val="24"/>
        </w:rPr>
        <w:t>1003,</w:t>
      </w:r>
      <w:r w:rsidRPr="00C915D3">
        <w:rPr>
          <w:rFonts w:ascii="Arial" w:hAnsi="Arial" w:cs="Arial"/>
          <w:sz w:val="24"/>
          <w:szCs w:val="24"/>
        </w:rPr>
        <w:t xml:space="preserve"> 22–35. </w:t>
      </w:r>
    </w:p>
    <w:p w:rsidR="0084686F" w:rsidRPr="0084686F" w:rsidRDefault="0084686F" w:rsidP="0084686F">
      <w:pPr>
        <w:spacing w:after="0" w:line="480" w:lineRule="auto"/>
        <w:jc w:val="both"/>
        <w:rPr>
          <w:rFonts w:ascii="Arial" w:hAnsi="Arial" w:cs="Arial"/>
          <w:sz w:val="24"/>
          <w:szCs w:val="24"/>
        </w:rPr>
      </w:pPr>
    </w:p>
    <w:p w:rsidR="00A25697" w:rsidRPr="0084686F" w:rsidRDefault="00A25697" w:rsidP="0084686F">
      <w:pPr>
        <w:pStyle w:val="authors1"/>
        <w:spacing w:before="0" w:line="480" w:lineRule="auto"/>
        <w:ind w:left="0"/>
        <w:jc w:val="both"/>
        <w:rPr>
          <w:rFonts w:ascii="Arial" w:hAnsi="Arial" w:cs="Arial"/>
          <w:sz w:val="24"/>
          <w:szCs w:val="24"/>
        </w:rPr>
      </w:pPr>
      <w:r w:rsidRPr="0084686F">
        <w:rPr>
          <w:rFonts w:ascii="Arial" w:hAnsi="Arial" w:cs="Arial"/>
          <w:sz w:val="24"/>
          <w:szCs w:val="24"/>
        </w:rPr>
        <w:t>Lodge</w:t>
      </w:r>
      <w:r w:rsidR="0084686F" w:rsidRPr="0084686F">
        <w:rPr>
          <w:rFonts w:ascii="Arial" w:hAnsi="Arial" w:cs="Arial"/>
          <w:sz w:val="24"/>
          <w:szCs w:val="24"/>
        </w:rPr>
        <w:t>,</w:t>
      </w:r>
      <w:r w:rsidRPr="0084686F">
        <w:rPr>
          <w:rFonts w:ascii="Arial" w:hAnsi="Arial" w:cs="Arial"/>
          <w:sz w:val="24"/>
          <w:szCs w:val="24"/>
        </w:rPr>
        <w:t xml:space="preserve"> D.</w:t>
      </w:r>
      <w:r w:rsidR="0084686F" w:rsidRPr="0084686F">
        <w:rPr>
          <w:rFonts w:ascii="Arial" w:hAnsi="Arial" w:cs="Arial"/>
          <w:sz w:val="24"/>
          <w:szCs w:val="24"/>
        </w:rPr>
        <w:t>,</w:t>
      </w:r>
      <w:r w:rsidRPr="0084686F">
        <w:rPr>
          <w:rFonts w:ascii="Arial" w:hAnsi="Arial" w:cs="Arial"/>
          <w:sz w:val="24"/>
          <w:szCs w:val="24"/>
        </w:rPr>
        <w:t xml:space="preserve">  2009. The history of the pharmacology and cloning of ionotropic glutamate receptors and the development of idiosyncratic nomenclature. </w:t>
      </w:r>
      <w:r w:rsidRPr="0084686F">
        <w:rPr>
          <w:rStyle w:val="journalname"/>
          <w:rFonts w:ascii="Arial" w:hAnsi="Arial" w:cs="Arial"/>
          <w:sz w:val="24"/>
          <w:szCs w:val="24"/>
        </w:rPr>
        <w:t>Neuropharmacol</w:t>
      </w:r>
      <w:r w:rsidRPr="0084686F">
        <w:rPr>
          <w:rFonts w:ascii="Arial" w:hAnsi="Arial" w:cs="Arial"/>
          <w:sz w:val="24"/>
          <w:szCs w:val="24"/>
        </w:rPr>
        <w:t>. 56(1)</w:t>
      </w:r>
      <w:r w:rsidR="0084686F" w:rsidRPr="0084686F">
        <w:rPr>
          <w:rFonts w:ascii="Arial" w:hAnsi="Arial" w:cs="Arial"/>
          <w:sz w:val="24"/>
          <w:szCs w:val="24"/>
        </w:rPr>
        <w:t xml:space="preserve">, </w:t>
      </w:r>
      <w:r w:rsidRPr="0084686F">
        <w:rPr>
          <w:rFonts w:ascii="Arial" w:hAnsi="Arial" w:cs="Arial"/>
          <w:sz w:val="24"/>
          <w:szCs w:val="24"/>
        </w:rPr>
        <w:t>6-21</w:t>
      </w:r>
    </w:p>
    <w:p w:rsidR="00A25697" w:rsidRPr="00C915D3" w:rsidRDefault="00A25697" w:rsidP="0084686F">
      <w:pPr>
        <w:spacing w:after="0" w:line="480" w:lineRule="auto"/>
        <w:jc w:val="both"/>
        <w:rPr>
          <w:rFonts w:ascii="Arial" w:hAnsi="Arial" w:cs="Arial"/>
          <w:sz w:val="24"/>
          <w:szCs w:val="24"/>
        </w:rPr>
      </w:pPr>
    </w:p>
    <w:p w:rsidR="006B5EA8" w:rsidRPr="00C915D3" w:rsidRDefault="006B5EA8" w:rsidP="0084686F">
      <w:pPr>
        <w:spacing w:after="0" w:line="480" w:lineRule="auto"/>
        <w:jc w:val="both"/>
        <w:rPr>
          <w:rFonts w:ascii="Arial" w:hAnsi="Arial" w:cs="Arial"/>
          <w:sz w:val="24"/>
          <w:szCs w:val="24"/>
        </w:rPr>
      </w:pPr>
      <w:r w:rsidRPr="00C915D3">
        <w:rPr>
          <w:rFonts w:ascii="Arial" w:hAnsi="Arial" w:cs="Arial"/>
          <w:sz w:val="24"/>
          <w:szCs w:val="24"/>
        </w:rPr>
        <w:t>Logsdon, S., Johnstone, A.F.M., Viele, K., </w:t>
      </w:r>
      <w:r w:rsidRPr="00C915D3">
        <w:rPr>
          <w:rFonts w:ascii="Arial" w:hAnsi="Arial" w:cs="Arial"/>
          <w:bCs/>
          <w:sz w:val="24"/>
          <w:szCs w:val="24"/>
        </w:rPr>
        <w:t>Cooper, R.L.,</w:t>
      </w:r>
      <w:r w:rsidRPr="00C915D3">
        <w:rPr>
          <w:rFonts w:ascii="Arial" w:hAnsi="Arial" w:cs="Arial"/>
          <w:sz w:val="24"/>
          <w:szCs w:val="24"/>
        </w:rPr>
        <w:t xml:space="preserve"> </w:t>
      </w:r>
      <w:r w:rsidRPr="00C915D3">
        <w:rPr>
          <w:rFonts w:ascii="Arial" w:hAnsi="Arial" w:cs="Arial"/>
          <w:bCs/>
          <w:sz w:val="24"/>
          <w:szCs w:val="24"/>
        </w:rPr>
        <w:t>2006.</w:t>
      </w:r>
      <w:r w:rsidRPr="00C915D3">
        <w:rPr>
          <w:rFonts w:ascii="Arial" w:hAnsi="Arial" w:cs="Arial"/>
          <w:sz w:val="24"/>
          <w:szCs w:val="24"/>
        </w:rPr>
        <w:t xml:space="preserve"> The regulation of synaptic vesicles pools within motor nerve terminals during short-term facilitation and neuromodulation. Appl. Physiol. 100(2), 662-671.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eastAsia="Arial Unicode MS" w:hAnsi="Arial" w:cs="Arial"/>
          <w:sz w:val="24"/>
          <w:szCs w:val="24"/>
        </w:rPr>
      </w:pPr>
      <w:r w:rsidRPr="00C915D3">
        <w:rPr>
          <w:rFonts w:ascii="Arial" w:hAnsi="Arial" w:cs="Arial"/>
          <w:sz w:val="24"/>
          <w:szCs w:val="24"/>
        </w:rPr>
        <w:t xml:space="preserve">Marrus, S.B., Portman, S.L., Allen, M.J., Moffat, K.G., DiAntonio, A., 2004. Differential localization of glutamate receptor subunits at the </w:t>
      </w:r>
      <w:r w:rsidRPr="00C915D3">
        <w:rPr>
          <w:rFonts w:ascii="Arial" w:hAnsi="Arial" w:cs="Arial"/>
          <w:iCs/>
          <w:sz w:val="24"/>
          <w:szCs w:val="24"/>
        </w:rPr>
        <w:t xml:space="preserve">Drosophila </w:t>
      </w:r>
      <w:r w:rsidRPr="00C915D3">
        <w:rPr>
          <w:rFonts w:ascii="Arial" w:hAnsi="Arial" w:cs="Arial"/>
          <w:sz w:val="24"/>
          <w:szCs w:val="24"/>
        </w:rPr>
        <w:t xml:space="preserve">neuromuscular junction. </w:t>
      </w:r>
      <w:r w:rsidRPr="00C915D3">
        <w:rPr>
          <w:rFonts w:ascii="Arial" w:hAnsi="Arial" w:cs="Arial"/>
          <w:iCs/>
          <w:sz w:val="24"/>
          <w:szCs w:val="24"/>
        </w:rPr>
        <w:t>J. Neurosci.</w:t>
      </w:r>
      <w:r w:rsidRPr="00C915D3">
        <w:rPr>
          <w:rFonts w:ascii="Arial" w:hAnsi="Arial" w:cs="Arial"/>
          <w:sz w:val="24"/>
          <w:szCs w:val="24"/>
        </w:rPr>
        <w:t xml:space="preserve"> </w:t>
      </w:r>
      <w:r w:rsidRPr="00C915D3">
        <w:rPr>
          <w:rFonts w:ascii="Arial" w:hAnsi="Arial" w:cs="Arial"/>
          <w:bCs/>
          <w:sz w:val="24"/>
          <w:szCs w:val="24"/>
        </w:rPr>
        <w:t xml:space="preserve">24, </w:t>
      </w:r>
      <w:r w:rsidRPr="00C915D3">
        <w:rPr>
          <w:rFonts w:ascii="Arial" w:hAnsi="Arial" w:cs="Arial"/>
          <w:sz w:val="24"/>
          <w:szCs w:val="24"/>
        </w:rPr>
        <w:t>1406-1415.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Mayer, M.L., 2005. Glutamate receptor ion channels. Curr. Opin. Neurobiol. 15(3), 282-289.</w:t>
      </w: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McLarnon, J.G., Quastel, D.M., 1988. A voltage clamp study of the glutamate responsive neuromuscular junction in </w:t>
      </w:r>
      <w:r w:rsidRPr="00C915D3">
        <w:rPr>
          <w:rFonts w:ascii="Arial" w:hAnsi="Arial" w:cs="Arial"/>
          <w:iCs/>
          <w:sz w:val="24"/>
          <w:szCs w:val="24"/>
        </w:rPr>
        <w:t>Drosophila melanogaster</w:t>
      </w:r>
      <w:r w:rsidRPr="00C915D3">
        <w:rPr>
          <w:rFonts w:ascii="Arial" w:hAnsi="Arial" w:cs="Arial"/>
          <w:sz w:val="24"/>
          <w:szCs w:val="24"/>
        </w:rPr>
        <w:t xml:space="preserve">. </w:t>
      </w:r>
      <w:r w:rsidRPr="00C915D3">
        <w:rPr>
          <w:rFonts w:ascii="Arial" w:hAnsi="Arial" w:cs="Arial"/>
          <w:iCs/>
          <w:sz w:val="24"/>
          <w:szCs w:val="24"/>
        </w:rPr>
        <w:t>Canadian J. Physiol. Pharmacol.</w:t>
      </w:r>
      <w:r w:rsidRPr="00C915D3">
        <w:rPr>
          <w:rFonts w:ascii="Arial" w:hAnsi="Arial" w:cs="Arial"/>
          <w:sz w:val="24"/>
          <w:szCs w:val="24"/>
        </w:rPr>
        <w:t xml:space="preserve"> </w:t>
      </w:r>
      <w:r w:rsidRPr="00C915D3">
        <w:rPr>
          <w:rFonts w:ascii="Arial" w:hAnsi="Arial" w:cs="Arial"/>
          <w:bCs/>
          <w:sz w:val="24"/>
          <w:szCs w:val="24"/>
        </w:rPr>
        <w:t xml:space="preserve">66, </w:t>
      </w:r>
      <w:r w:rsidRPr="00C915D3">
        <w:rPr>
          <w:rFonts w:ascii="Arial" w:hAnsi="Arial" w:cs="Arial"/>
          <w:sz w:val="24"/>
          <w:szCs w:val="24"/>
        </w:rPr>
        <w:t>321-327.</w:t>
      </w:r>
    </w:p>
    <w:p w:rsidR="006B5EA8" w:rsidRPr="00C915D3" w:rsidRDefault="006B5EA8" w:rsidP="006B5EA8">
      <w:pPr>
        <w:pStyle w:val="NormalWeb"/>
        <w:spacing w:line="480" w:lineRule="auto"/>
        <w:jc w:val="both"/>
        <w:rPr>
          <w:rFonts w:ascii="Arial" w:hAnsi="Arial" w:cs="Arial"/>
        </w:rPr>
      </w:pPr>
    </w:p>
    <w:p w:rsidR="006B5EA8" w:rsidRPr="00C915D3" w:rsidRDefault="006B5EA8" w:rsidP="006B5EA8">
      <w:pPr>
        <w:pStyle w:val="NormalWeb"/>
        <w:spacing w:line="480" w:lineRule="auto"/>
        <w:jc w:val="both"/>
        <w:rPr>
          <w:rFonts w:ascii="Arial" w:hAnsi="Arial" w:cs="Arial"/>
        </w:rPr>
      </w:pPr>
      <w:r w:rsidRPr="00C915D3">
        <w:rPr>
          <w:rFonts w:ascii="Arial" w:hAnsi="Arial" w:cs="Arial"/>
        </w:rPr>
        <w:t>Nicoll, R.A., Mellor, J., Frerking, M., Schmitz, D., 2000. Kainate receptors and synaptic plasticity. Nature. 406(6799), 957.</w:t>
      </w:r>
    </w:p>
    <w:p w:rsidR="006B5EA8" w:rsidRPr="00C915D3" w:rsidRDefault="006B5EA8" w:rsidP="006B5EA8">
      <w:pPr>
        <w:pStyle w:val="NormalWeb"/>
        <w:spacing w:line="480" w:lineRule="auto"/>
        <w:jc w:val="both"/>
        <w:rPr>
          <w:rFonts w:ascii="Arial" w:hAnsi="Arial" w:cs="Arial"/>
        </w:rPr>
      </w:pPr>
      <w:r w:rsidRPr="00C915D3">
        <w:rPr>
          <w:rFonts w:ascii="Arial" w:hAnsi="Arial" w:cs="Arial"/>
        </w:rPr>
        <w:t xml:space="preserve"> </w:t>
      </w: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Park, Y., Jo, J., Isaac, J.T., Cho, K., 2006. Long-term depression of kainate receptor-mediated synaptic transmission. Neuron 49(1), 95-106. </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Patlak, J.B., Gration, K.A., Usherwood, P.N., 1979. Single glutamate-activated channels in locust muscle. </w:t>
      </w:r>
      <w:r w:rsidRPr="00C915D3">
        <w:rPr>
          <w:rFonts w:ascii="Arial" w:hAnsi="Arial" w:cs="Arial"/>
          <w:iCs/>
          <w:sz w:val="24"/>
          <w:szCs w:val="24"/>
        </w:rPr>
        <w:t>Nature</w:t>
      </w:r>
      <w:r w:rsidRPr="00C915D3">
        <w:rPr>
          <w:rFonts w:ascii="Arial" w:hAnsi="Arial" w:cs="Arial"/>
          <w:sz w:val="24"/>
          <w:szCs w:val="24"/>
        </w:rPr>
        <w:t xml:space="preserve"> </w:t>
      </w:r>
      <w:r w:rsidRPr="00C915D3">
        <w:rPr>
          <w:rFonts w:ascii="Arial" w:hAnsi="Arial" w:cs="Arial"/>
          <w:bCs/>
          <w:sz w:val="24"/>
          <w:szCs w:val="24"/>
        </w:rPr>
        <w:t xml:space="preserve">5705, </w:t>
      </w:r>
      <w:r w:rsidRPr="00C915D3">
        <w:rPr>
          <w:rFonts w:ascii="Arial" w:hAnsi="Arial" w:cs="Arial"/>
          <w:sz w:val="24"/>
          <w:szCs w:val="24"/>
        </w:rPr>
        <w:t>643-645.</w:t>
      </w:r>
    </w:p>
    <w:p w:rsidR="006B5EA8" w:rsidRPr="00C915D3" w:rsidRDefault="006B5EA8" w:rsidP="006B5EA8">
      <w:pPr>
        <w:spacing w:after="0" w:line="480" w:lineRule="auto"/>
        <w:jc w:val="both"/>
        <w:rPr>
          <w:rFonts w:ascii="Arial" w:hAnsi="Arial" w:cs="Arial"/>
          <w:bCs/>
          <w:sz w:val="24"/>
          <w:szCs w:val="24"/>
        </w:rPr>
      </w:pPr>
    </w:p>
    <w:p w:rsidR="006B5EA8" w:rsidRPr="00C915D3" w:rsidRDefault="006B5EA8" w:rsidP="006B5EA8">
      <w:pPr>
        <w:spacing w:after="0" w:line="480" w:lineRule="auto"/>
        <w:jc w:val="both"/>
        <w:rPr>
          <w:rStyle w:val="ti"/>
          <w:rFonts w:ascii="Arial" w:hAnsi="Arial" w:cs="Arial"/>
          <w:sz w:val="24"/>
          <w:szCs w:val="24"/>
        </w:rPr>
      </w:pPr>
      <w:r w:rsidRPr="00C915D3">
        <w:rPr>
          <w:rFonts w:ascii="Arial" w:hAnsi="Arial" w:cs="Arial"/>
          <w:bCs/>
          <w:sz w:val="24"/>
          <w:szCs w:val="24"/>
        </w:rPr>
        <w:t>Pauly, T.</w:t>
      </w:r>
      <w:r w:rsidRPr="00C915D3">
        <w:rPr>
          <w:rFonts w:ascii="Arial" w:hAnsi="Arial" w:cs="Arial"/>
          <w:sz w:val="24"/>
          <w:szCs w:val="24"/>
        </w:rPr>
        <w:t xml:space="preserve">, </w:t>
      </w:r>
      <w:r w:rsidRPr="00C915D3">
        <w:rPr>
          <w:rFonts w:ascii="Arial" w:hAnsi="Arial" w:cs="Arial"/>
          <w:bCs/>
          <w:sz w:val="24"/>
          <w:szCs w:val="24"/>
        </w:rPr>
        <w:t>Schlicksupp, A.</w:t>
      </w:r>
      <w:r w:rsidRPr="00C915D3">
        <w:rPr>
          <w:rFonts w:ascii="Arial" w:hAnsi="Arial" w:cs="Arial"/>
          <w:sz w:val="24"/>
          <w:szCs w:val="24"/>
        </w:rPr>
        <w:t xml:space="preserve">, </w:t>
      </w:r>
      <w:r w:rsidRPr="00C915D3">
        <w:rPr>
          <w:rFonts w:ascii="Arial" w:hAnsi="Arial" w:cs="Arial"/>
          <w:bCs/>
          <w:sz w:val="24"/>
          <w:szCs w:val="24"/>
        </w:rPr>
        <w:t>Neugebauer, R.</w:t>
      </w:r>
      <w:r w:rsidRPr="00C915D3">
        <w:rPr>
          <w:rFonts w:ascii="Arial" w:hAnsi="Arial" w:cs="Arial"/>
          <w:sz w:val="24"/>
          <w:szCs w:val="24"/>
        </w:rPr>
        <w:t xml:space="preserve">, </w:t>
      </w:r>
      <w:r w:rsidRPr="00C915D3">
        <w:rPr>
          <w:rFonts w:ascii="Arial" w:hAnsi="Arial" w:cs="Arial"/>
          <w:bCs/>
          <w:sz w:val="24"/>
          <w:szCs w:val="24"/>
        </w:rPr>
        <w:t>Kuhse, J</w:t>
      </w:r>
      <w:r w:rsidRPr="00C915D3">
        <w:rPr>
          <w:rFonts w:ascii="Arial" w:hAnsi="Arial" w:cs="Arial"/>
          <w:sz w:val="24"/>
          <w:szCs w:val="24"/>
        </w:rPr>
        <w:t xml:space="preserve">., 2005. Synaptic targeting of N-methyl-D-aspartate receptor splice variants is regulated differentially by receptor activity. </w:t>
      </w:r>
      <w:r w:rsidRPr="00C915D3">
        <w:rPr>
          <w:rStyle w:val="ti"/>
          <w:rFonts w:ascii="Arial" w:hAnsi="Arial" w:cs="Arial"/>
          <w:sz w:val="24"/>
          <w:szCs w:val="24"/>
        </w:rPr>
        <w:t>Neurosci. 131(1), 99-111.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Pawlu, C., DiAntonio, A., Heckmann, M., 2004. Postfusional control of quantal current shape. Neuron 42(4), 607-618.</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lastRenderedPageBreak/>
        <w:t xml:space="preserve">Pinheiro, P.S., Mulle, C., 2008. Presynaptic glutamate receptors: physiological functions and mechanisms of action. </w:t>
      </w:r>
      <w:r w:rsidRPr="00C915D3">
        <w:rPr>
          <w:rFonts w:ascii="Arial" w:hAnsi="Arial" w:cs="Arial"/>
          <w:iCs/>
          <w:sz w:val="24"/>
          <w:szCs w:val="24"/>
        </w:rPr>
        <w:t>Nat. Rev. Neurosci.</w:t>
      </w:r>
      <w:r w:rsidRPr="00C915D3">
        <w:rPr>
          <w:rFonts w:ascii="Arial" w:hAnsi="Arial" w:cs="Arial"/>
          <w:sz w:val="24"/>
          <w:szCs w:val="24"/>
        </w:rPr>
        <w:t xml:space="preserve"> </w:t>
      </w:r>
      <w:r w:rsidRPr="00C915D3">
        <w:rPr>
          <w:rStyle w:val="Strong"/>
          <w:rFonts w:ascii="Arial" w:hAnsi="Arial" w:cs="Arial"/>
          <w:b w:val="0"/>
          <w:sz w:val="24"/>
          <w:szCs w:val="24"/>
        </w:rPr>
        <w:t>9,</w:t>
      </w:r>
      <w:r w:rsidRPr="00C915D3">
        <w:rPr>
          <w:rFonts w:ascii="Arial" w:hAnsi="Arial" w:cs="Arial"/>
          <w:sz w:val="24"/>
          <w:szCs w:val="24"/>
        </w:rPr>
        <w:t xml:space="preserve"> 423–436.</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Qin, G., Schwarz, T., Kittel, R.J., Schmid, A., Rasse, T.M., Kappei, D., Ponimaskin, E., Heckmann, M., Sigrist, S.J., 2005. Four different subunits are essential for expressing the synaptic glutamate receptor at neuromuscular junctions of Drosophila. J. Neurosci. 25(12), 3209-3218.</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bCs/>
          <w:sz w:val="24"/>
          <w:szCs w:val="24"/>
        </w:rPr>
      </w:pPr>
      <w:r w:rsidRPr="00C915D3">
        <w:rPr>
          <w:rFonts w:ascii="Arial" w:hAnsi="Arial" w:cs="Arial"/>
          <w:sz w:val="24"/>
          <w:szCs w:val="24"/>
        </w:rPr>
        <w:t>Rasse, T.M., Fouquet, W., Schmid, A., Kittel, R.J., Mertel, S., Sigrist, C.B., Schmidt, M., Guzman, A., Merino, C., Qin, G., Quentin, C., Madeo, F.F., Heckmann, M., Sigrist, S.J., 2005. Glutamate receptor dynamics organizing synapse formation in vivo. Nature Neurosci. 8(7), 898-905.</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 xml:space="preserve">Rozas, J.L., Paternain, A.V., Lerma, J., </w:t>
      </w:r>
      <w:r w:rsidRPr="00C915D3">
        <w:rPr>
          <w:rStyle w:val="cite-month-year"/>
          <w:rFonts w:ascii="Arial" w:hAnsi="Arial" w:cs="Arial"/>
          <w:sz w:val="24"/>
          <w:szCs w:val="24"/>
        </w:rPr>
        <w:t>2003.</w:t>
      </w:r>
      <w:r w:rsidRPr="00C915D3">
        <w:rPr>
          <w:rFonts w:ascii="Arial" w:hAnsi="Arial" w:cs="Arial"/>
          <w:sz w:val="24"/>
          <w:szCs w:val="24"/>
        </w:rPr>
        <w:t xml:space="preserve"> Noncanonical signaling by ionotropic kainate receptors. </w:t>
      </w:r>
      <w:r w:rsidRPr="00C915D3">
        <w:rPr>
          <w:rStyle w:val="journalname"/>
          <w:rFonts w:ascii="Arial" w:hAnsi="Arial" w:cs="Arial"/>
          <w:sz w:val="24"/>
          <w:szCs w:val="24"/>
        </w:rPr>
        <w:t>Neuron</w:t>
      </w:r>
      <w:r w:rsidRPr="00C915D3">
        <w:rPr>
          <w:rFonts w:ascii="Arial" w:hAnsi="Arial" w:cs="Arial"/>
          <w:sz w:val="24"/>
          <w:szCs w:val="24"/>
        </w:rPr>
        <w:t xml:space="preserve"> </w:t>
      </w:r>
      <w:r w:rsidRPr="00C915D3">
        <w:rPr>
          <w:rStyle w:val="journalnumber"/>
          <w:rFonts w:ascii="Arial" w:hAnsi="Arial" w:cs="Arial"/>
          <w:sz w:val="24"/>
          <w:szCs w:val="24"/>
        </w:rPr>
        <w:t>39,</w:t>
      </w:r>
      <w:r w:rsidRPr="00C915D3">
        <w:rPr>
          <w:rFonts w:ascii="Arial" w:hAnsi="Arial" w:cs="Arial"/>
          <w:sz w:val="24"/>
          <w:szCs w:val="24"/>
        </w:rPr>
        <w:t xml:space="preserve"> 543–553 </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Ruffner, M.E., Cromarty, S.I., Cooper, R.L., 1999. Depression of synaptic efficacy in </w:t>
      </w:r>
      <w:r w:rsidRPr="00C915D3">
        <w:rPr>
          <w:rFonts w:ascii="Arial" w:hAnsi="Arial" w:cs="Arial"/>
          <w:iCs/>
          <w:sz w:val="24"/>
          <w:szCs w:val="24"/>
        </w:rPr>
        <w:t>Drosophila</w:t>
      </w:r>
      <w:r w:rsidRPr="00C915D3">
        <w:rPr>
          <w:rFonts w:ascii="Arial" w:hAnsi="Arial" w:cs="Arial"/>
          <w:sz w:val="24"/>
          <w:szCs w:val="24"/>
        </w:rPr>
        <w:t xml:space="preserve"> neuromuscular junctions by the molting hormone (20-Hydroxyecdysone). J. Neurophysiol. 81, 788-794.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Schoepp, D.D., 2002. Metabotropic glutamate receptors. </w:t>
      </w:r>
      <w:r w:rsidRPr="00C915D3">
        <w:rPr>
          <w:rStyle w:val="journalname"/>
          <w:rFonts w:ascii="Arial" w:hAnsi="Arial" w:cs="Arial"/>
          <w:sz w:val="24"/>
          <w:szCs w:val="24"/>
        </w:rPr>
        <w:t>Pharmacol. Biochem. Behav</w:t>
      </w:r>
      <w:r w:rsidRPr="00C915D3">
        <w:rPr>
          <w:rFonts w:ascii="Arial" w:hAnsi="Arial" w:cs="Arial"/>
          <w:sz w:val="24"/>
          <w:szCs w:val="24"/>
        </w:rPr>
        <w:t>. 73(2), 285-286.</w:t>
      </w:r>
    </w:p>
    <w:p w:rsidR="006B5EA8" w:rsidRPr="00C915D3" w:rsidRDefault="006B5EA8" w:rsidP="006B5EA8">
      <w:pPr>
        <w:autoSpaceDE w:val="0"/>
        <w:autoSpaceDN w:val="0"/>
        <w:adjustRightInd w:val="0"/>
        <w:spacing w:after="0" w:line="480" w:lineRule="auto"/>
        <w:rPr>
          <w:rFonts w:ascii="Arial" w:hAnsi="Arial" w:cs="Arial"/>
          <w:sz w:val="24"/>
          <w:szCs w:val="24"/>
        </w:rPr>
      </w:pPr>
    </w:p>
    <w:p w:rsidR="006B5EA8" w:rsidRPr="00C915D3" w:rsidRDefault="006B5EA8" w:rsidP="006B5EA8">
      <w:pPr>
        <w:autoSpaceDE w:val="0"/>
        <w:autoSpaceDN w:val="0"/>
        <w:adjustRightInd w:val="0"/>
        <w:spacing w:after="0" w:line="480" w:lineRule="auto"/>
        <w:rPr>
          <w:rFonts w:ascii="Arial" w:hAnsi="Arial" w:cs="Arial"/>
          <w:sz w:val="24"/>
          <w:szCs w:val="24"/>
        </w:rPr>
      </w:pPr>
      <w:r w:rsidRPr="00C915D3">
        <w:rPr>
          <w:rFonts w:ascii="Arial" w:hAnsi="Arial" w:cs="Arial"/>
          <w:sz w:val="24"/>
          <w:szCs w:val="24"/>
        </w:rPr>
        <w:lastRenderedPageBreak/>
        <w:t>Schoepp, D., Bockaert, J., Sladeczek, F., 1990. Pharmacological and functional characteristics of metabotropic excitatory amino acid receptors. Trends Pharmacol. Sci. 11, 508-515.</w:t>
      </w:r>
    </w:p>
    <w:p w:rsidR="006B5EA8" w:rsidRPr="00C915D3" w:rsidRDefault="006B5EA8" w:rsidP="006B5EA8">
      <w:pPr>
        <w:autoSpaceDE w:val="0"/>
        <w:autoSpaceDN w:val="0"/>
        <w:adjustRightInd w:val="0"/>
        <w:spacing w:after="0" w:line="480" w:lineRule="auto"/>
        <w:rPr>
          <w:rFonts w:ascii="Arial" w:hAnsi="Arial" w:cs="Arial"/>
          <w:sz w:val="24"/>
          <w:szCs w:val="24"/>
        </w:rPr>
      </w:pPr>
    </w:p>
    <w:p w:rsidR="006B5EA8" w:rsidRPr="00C915D3" w:rsidRDefault="006B5EA8" w:rsidP="006B5EA8">
      <w:pPr>
        <w:autoSpaceDE w:val="0"/>
        <w:autoSpaceDN w:val="0"/>
        <w:adjustRightInd w:val="0"/>
        <w:spacing w:after="0" w:line="480" w:lineRule="auto"/>
        <w:rPr>
          <w:rFonts w:ascii="Arial" w:hAnsi="Arial" w:cs="Arial"/>
          <w:sz w:val="24"/>
          <w:szCs w:val="24"/>
        </w:rPr>
      </w:pPr>
      <w:r w:rsidRPr="00C915D3">
        <w:rPr>
          <w:rFonts w:ascii="Arial" w:hAnsi="Arial" w:cs="Arial"/>
          <w:sz w:val="24"/>
          <w:szCs w:val="24"/>
        </w:rPr>
        <w:t>Schramm, M., Dudel, J., 1997. Metabotropic glutamate autoreceptors on nerve terminals on crayfish muscle depress or facilitate release. Neurosci. Lett., 234, 31–34.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Schuster, C.M., Ultsch, A., Schloss, P., Cox, J.A., Schmitt, B., Betz, H., 1991. Molecular cloning of an invertebrate glutamate receptor subunit expressed in </w:t>
      </w:r>
      <w:r w:rsidRPr="00C915D3">
        <w:rPr>
          <w:rFonts w:ascii="Arial" w:hAnsi="Arial" w:cs="Arial"/>
          <w:iCs/>
          <w:sz w:val="24"/>
          <w:szCs w:val="24"/>
        </w:rPr>
        <w:t>Drosophila</w:t>
      </w:r>
      <w:r w:rsidRPr="00C915D3">
        <w:rPr>
          <w:rFonts w:ascii="Arial" w:hAnsi="Arial" w:cs="Arial"/>
          <w:sz w:val="24"/>
          <w:szCs w:val="24"/>
        </w:rPr>
        <w:t xml:space="preserve"> muscle. </w:t>
      </w:r>
      <w:r w:rsidRPr="00C915D3">
        <w:rPr>
          <w:rFonts w:ascii="Arial" w:hAnsi="Arial" w:cs="Arial"/>
          <w:iCs/>
          <w:sz w:val="24"/>
          <w:szCs w:val="24"/>
        </w:rPr>
        <w:t>Science</w:t>
      </w:r>
      <w:r w:rsidRPr="00C915D3">
        <w:rPr>
          <w:rFonts w:ascii="Arial" w:hAnsi="Arial" w:cs="Arial"/>
          <w:sz w:val="24"/>
          <w:szCs w:val="24"/>
        </w:rPr>
        <w:t xml:space="preserve"> </w:t>
      </w:r>
      <w:r w:rsidRPr="00C915D3">
        <w:rPr>
          <w:rFonts w:ascii="Arial" w:hAnsi="Arial" w:cs="Arial"/>
          <w:bCs/>
          <w:sz w:val="24"/>
          <w:szCs w:val="24"/>
        </w:rPr>
        <w:t>254</w:t>
      </w:r>
      <w:r w:rsidRPr="00C915D3">
        <w:rPr>
          <w:rFonts w:ascii="Arial" w:hAnsi="Arial" w:cs="Arial"/>
          <w:sz w:val="24"/>
          <w:szCs w:val="24"/>
        </w:rPr>
        <w:t>(5028), 112-114.</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Seeburg, P.H., 1993. The TINS/TiPS Lecture. The molecular biology of mammalian glutamate receptor channels. </w:t>
      </w:r>
      <w:r w:rsidRPr="00C915D3">
        <w:rPr>
          <w:rStyle w:val="journalname"/>
          <w:rFonts w:ascii="Arial" w:hAnsi="Arial" w:cs="Arial"/>
          <w:sz w:val="24"/>
          <w:szCs w:val="24"/>
        </w:rPr>
        <w:t>Trends Neurosci</w:t>
      </w:r>
      <w:r w:rsidRPr="00C915D3">
        <w:rPr>
          <w:rFonts w:ascii="Arial" w:hAnsi="Arial" w:cs="Arial"/>
          <w:sz w:val="24"/>
          <w:szCs w:val="24"/>
        </w:rPr>
        <w:t>. 16(9), 359-365.</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Shinozaki, H., Ishida, M., 1981. Quisqualate action on the crayfish neuromuscular junction. </w:t>
      </w:r>
      <w:r w:rsidRPr="00C915D3">
        <w:rPr>
          <w:rFonts w:ascii="Arial" w:hAnsi="Arial" w:cs="Arial"/>
          <w:iCs/>
          <w:sz w:val="24"/>
          <w:szCs w:val="24"/>
        </w:rPr>
        <w:t>J. Pharmacobiodynamics</w:t>
      </w:r>
      <w:r w:rsidRPr="00C915D3">
        <w:rPr>
          <w:rFonts w:ascii="Arial" w:hAnsi="Arial" w:cs="Arial"/>
          <w:sz w:val="24"/>
          <w:szCs w:val="24"/>
        </w:rPr>
        <w:t xml:space="preserve"> </w:t>
      </w:r>
      <w:r w:rsidRPr="00C915D3">
        <w:rPr>
          <w:rFonts w:ascii="Arial" w:hAnsi="Arial" w:cs="Arial"/>
          <w:bCs/>
          <w:sz w:val="24"/>
          <w:szCs w:val="24"/>
        </w:rPr>
        <w:t xml:space="preserve">4, </w:t>
      </w:r>
      <w:r w:rsidRPr="00C915D3">
        <w:rPr>
          <w:rFonts w:ascii="Arial" w:hAnsi="Arial" w:cs="Arial"/>
          <w:sz w:val="24"/>
          <w:szCs w:val="24"/>
        </w:rPr>
        <w:t>42-48.</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Shinozaki, H., Shibuya, I., 1974. A new potent excitant, quisqualic acid: effects on crayfish neuromuscular junction. </w:t>
      </w:r>
      <w:r w:rsidRPr="00C915D3">
        <w:rPr>
          <w:rFonts w:ascii="Arial" w:hAnsi="Arial" w:cs="Arial"/>
          <w:iCs/>
          <w:sz w:val="24"/>
          <w:szCs w:val="24"/>
        </w:rPr>
        <w:t>Neuropharmacol.</w:t>
      </w:r>
      <w:r w:rsidRPr="00C915D3">
        <w:rPr>
          <w:rFonts w:ascii="Arial" w:hAnsi="Arial" w:cs="Arial"/>
          <w:sz w:val="24"/>
          <w:szCs w:val="24"/>
        </w:rPr>
        <w:t xml:space="preserve"> </w:t>
      </w:r>
      <w:r w:rsidRPr="00C915D3">
        <w:rPr>
          <w:rFonts w:ascii="Arial" w:hAnsi="Arial" w:cs="Arial"/>
          <w:bCs/>
          <w:sz w:val="24"/>
          <w:szCs w:val="24"/>
        </w:rPr>
        <w:t xml:space="preserve">13, </w:t>
      </w:r>
      <w:r w:rsidRPr="00C915D3">
        <w:rPr>
          <w:rFonts w:ascii="Arial" w:hAnsi="Arial" w:cs="Arial"/>
          <w:sz w:val="24"/>
          <w:szCs w:val="24"/>
        </w:rPr>
        <w:t>665-672.</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Sigrist, S.J., Thiel, P.R., Reiff, D.F., Schuster, C.M., 2002. The postsynaptic glutamate receptor subunit DGluR-IIA mediates long-term plasticity in Drosophila.  Neurosci. 22(17), 7362-7372.</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Sigrist, S.J., Reiff, D.F., Thiel, P.R., Steinert, J.R., Schuster, C.M., 2003. Experience-dependent strengthening of Drosophila neuromuscular junctions. J. Neurosci. 23(16), 6546-6556.</w:t>
      </w:r>
    </w:p>
    <w:p w:rsidR="009736E4" w:rsidRDefault="009736E4"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Sparks, G.M., Dasari, S., Cooper, R.L., 2004. Actions of MDMA at glutamatergic neuromuscular junctions. </w:t>
      </w:r>
      <w:r w:rsidRPr="00C915D3">
        <w:rPr>
          <w:rFonts w:ascii="Arial" w:hAnsi="Arial" w:cs="Arial"/>
          <w:iCs/>
          <w:sz w:val="24"/>
          <w:szCs w:val="24"/>
        </w:rPr>
        <w:t>Neurosci. Res.</w:t>
      </w:r>
      <w:r w:rsidRPr="00C915D3">
        <w:rPr>
          <w:rFonts w:ascii="Arial" w:hAnsi="Arial" w:cs="Arial"/>
          <w:sz w:val="24"/>
          <w:szCs w:val="24"/>
        </w:rPr>
        <w:t xml:space="preserve"> </w:t>
      </w:r>
      <w:r w:rsidRPr="00C915D3">
        <w:rPr>
          <w:rFonts w:ascii="Arial" w:hAnsi="Arial" w:cs="Arial"/>
          <w:bCs/>
          <w:sz w:val="24"/>
          <w:szCs w:val="24"/>
        </w:rPr>
        <w:t>48</w:t>
      </w:r>
      <w:r w:rsidRPr="00C915D3">
        <w:rPr>
          <w:rFonts w:ascii="Arial" w:hAnsi="Arial" w:cs="Arial"/>
          <w:sz w:val="24"/>
          <w:szCs w:val="24"/>
        </w:rPr>
        <w:t>(4), 431-438.</w:t>
      </w:r>
    </w:p>
    <w:p w:rsidR="006B5EA8" w:rsidRPr="00C915D3" w:rsidRDefault="006B5EA8" w:rsidP="006B5EA8">
      <w:pPr>
        <w:spacing w:after="0" w:line="480" w:lineRule="auto"/>
        <w:jc w:val="both"/>
        <w:rPr>
          <w:rFonts w:ascii="Arial" w:hAnsi="Arial" w:cs="Arial"/>
          <w:sz w:val="24"/>
          <w:szCs w:val="24"/>
          <w:lang w:val="en-CA"/>
        </w:rPr>
      </w:pPr>
    </w:p>
    <w:p w:rsidR="006B5EA8" w:rsidRPr="00C915D3" w:rsidRDefault="006B5EA8" w:rsidP="006B5EA8">
      <w:pPr>
        <w:spacing w:after="0" w:line="480" w:lineRule="auto"/>
        <w:jc w:val="both"/>
        <w:rPr>
          <w:rFonts w:ascii="Arial" w:hAnsi="Arial" w:cs="Arial"/>
          <w:sz w:val="24"/>
          <w:szCs w:val="24"/>
          <w:lang w:val="en-CA"/>
        </w:rPr>
      </w:pPr>
      <w:r w:rsidRPr="00C915D3">
        <w:rPr>
          <w:rFonts w:ascii="Arial" w:hAnsi="Arial" w:cs="Arial"/>
          <w:sz w:val="24"/>
          <w:szCs w:val="24"/>
          <w:lang w:val="en-CA"/>
        </w:rPr>
        <w:t xml:space="preserve">Stewart, B.A., Atwood, H.L., Renger, J.J., Wang, J., Wu, C.F., 1994. Improved stability of Drosophila larval neuromuscular preparation in haemolymph-like physiological solutions. </w:t>
      </w:r>
      <w:r w:rsidRPr="00C915D3">
        <w:rPr>
          <w:rFonts w:ascii="Arial" w:hAnsi="Arial" w:cs="Arial"/>
          <w:iCs/>
          <w:sz w:val="24"/>
          <w:szCs w:val="24"/>
          <w:lang w:val="en-CA"/>
        </w:rPr>
        <w:t>J. Comp. Physiol. A</w:t>
      </w:r>
      <w:r w:rsidRPr="00C915D3">
        <w:rPr>
          <w:rFonts w:ascii="Arial" w:hAnsi="Arial" w:cs="Arial"/>
          <w:sz w:val="24"/>
          <w:szCs w:val="24"/>
          <w:lang w:val="en-CA"/>
        </w:rPr>
        <w:t xml:space="preserve"> </w:t>
      </w:r>
      <w:r w:rsidRPr="00C915D3">
        <w:rPr>
          <w:rFonts w:ascii="Arial" w:hAnsi="Arial" w:cs="Arial"/>
          <w:bCs/>
          <w:sz w:val="24"/>
          <w:szCs w:val="24"/>
          <w:lang w:val="en-CA"/>
        </w:rPr>
        <w:t xml:space="preserve">175, </w:t>
      </w:r>
      <w:r w:rsidRPr="00C915D3">
        <w:rPr>
          <w:rFonts w:ascii="Arial" w:hAnsi="Arial" w:cs="Arial"/>
          <w:sz w:val="24"/>
          <w:szCs w:val="24"/>
          <w:lang w:val="en-CA"/>
        </w:rPr>
        <w:t>179-191.</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Stewart, B.A., Schuster, C.M., Goodman, C.S., Atwood, H.L., 1996. Homeostasis of synaptic transmission in Drosophila with genetically altered nerve terminal morphology. J. Neurosci. 16(12), 3877-3886.</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 xml:space="preserve">Sun, Y., Olson, R., Horning, M., Armstrong, N., Mayer, M.L., Gouaux, E., 2002. Mechanism of glutamate receptor desensitization. </w:t>
      </w:r>
      <w:r w:rsidRPr="00C915D3">
        <w:rPr>
          <w:rFonts w:ascii="Arial" w:hAnsi="Arial" w:cs="Arial"/>
          <w:iCs/>
          <w:sz w:val="24"/>
          <w:szCs w:val="24"/>
        </w:rPr>
        <w:t>Nature</w:t>
      </w:r>
      <w:r w:rsidRPr="00C915D3">
        <w:rPr>
          <w:rFonts w:ascii="Arial" w:hAnsi="Arial" w:cs="Arial"/>
          <w:sz w:val="24"/>
          <w:szCs w:val="24"/>
        </w:rPr>
        <w:t xml:space="preserve"> </w:t>
      </w:r>
      <w:r w:rsidRPr="00C915D3">
        <w:rPr>
          <w:rStyle w:val="Strong"/>
          <w:rFonts w:ascii="Arial" w:hAnsi="Arial" w:cs="Arial"/>
          <w:b w:val="0"/>
          <w:sz w:val="24"/>
          <w:szCs w:val="24"/>
        </w:rPr>
        <w:t>417,</w:t>
      </w:r>
      <w:r w:rsidRPr="00C915D3">
        <w:rPr>
          <w:rFonts w:ascii="Arial" w:hAnsi="Arial" w:cs="Arial"/>
          <w:sz w:val="24"/>
          <w:szCs w:val="24"/>
        </w:rPr>
        <w:t xml:space="preserve"> 245–253.</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Thiagarajan, T.C., Lindskog, M., Tsien, R.W., 2005. Adaptation to synaptic inactivity in hippocampal neurons. Neuron 47(5), 725-737.</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lastRenderedPageBreak/>
        <w:t xml:space="preserve">Tour, O., Parnas, H., Parnas, I., 2000. </w:t>
      </w:r>
      <w:r w:rsidRPr="00C915D3">
        <w:rPr>
          <w:rStyle w:val="Strong"/>
          <w:rFonts w:ascii="Arial" w:hAnsi="Arial" w:cs="Arial"/>
          <w:b w:val="0"/>
          <w:sz w:val="24"/>
          <w:szCs w:val="24"/>
        </w:rPr>
        <w:t xml:space="preserve">On the Mechanism of Desensitization in Quisqualate-Type Glutamate Channels. </w:t>
      </w:r>
      <w:r w:rsidRPr="00C915D3">
        <w:rPr>
          <w:rFonts w:ascii="Arial" w:hAnsi="Arial" w:cs="Arial"/>
          <w:sz w:val="24"/>
          <w:szCs w:val="24"/>
        </w:rPr>
        <w:t>J. Neurophysiol. 84,1-10.</w:t>
      </w:r>
    </w:p>
    <w:p w:rsidR="006B5EA8" w:rsidRPr="00C915D3" w:rsidRDefault="006B5EA8" w:rsidP="006B5EA8">
      <w:pPr>
        <w:spacing w:after="0" w:line="480" w:lineRule="auto"/>
        <w:rPr>
          <w:rFonts w:ascii="Arial" w:hAnsi="Arial" w:cs="Arial"/>
          <w:sz w:val="24"/>
          <w:szCs w:val="24"/>
        </w:rPr>
      </w:pPr>
    </w:p>
    <w:p w:rsidR="006B5EA8" w:rsidRPr="00C915D3" w:rsidRDefault="006B5EA8" w:rsidP="006B5EA8">
      <w:pPr>
        <w:spacing w:after="0" w:line="480" w:lineRule="auto"/>
        <w:rPr>
          <w:rFonts w:ascii="Arial" w:hAnsi="Arial" w:cs="Arial"/>
          <w:sz w:val="24"/>
          <w:szCs w:val="24"/>
        </w:rPr>
      </w:pPr>
      <w:r w:rsidRPr="00C915D3">
        <w:rPr>
          <w:rFonts w:ascii="Arial" w:hAnsi="Arial" w:cs="Arial"/>
          <w:sz w:val="24"/>
          <w:szCs w:val="24"/>
        </w:rPr>
        <w:t xml:space="preserve">Verdoorn, T.A., Burnashev, N., Monyer, H., Seeburg, P.H., Sakmann, B., 1991. Structural determinants of ion flow through recombinant glutamate receptor channels. </w:t>
      </w:r>
      <w:r w:rsidRPr="00C915D3">
        <w:rPr>
          <w:rStyle w:val="ref-journal1"/>
          <w:rFonts w:ascii="Arial" w:hAnsi="Arial" w:cs="Arial"/>
          <w:i w:val="0"/>
          <w:sz w:val="24"/>
          <w:szCs w:val="24"/>
        </w:rPr>
        <w:t xml:space="preserve">Science </w:t>
      </w:r>
      <w:r w:rsidRPr="00C915D3">
        <w:rPr>
          <w:rStyle w:val="ref-vol1"/>
          <w:rFonts w:ascii="Arial" w:hAnsi="Arial" w:cs="Arial"/>
          <w:b w:val="0"/>
          <w:sz w:val="24"/>
          <w:szCs w:val="24"/>
        </w:rPr>
        <w:t>252</w:t>
      </w:r>
      <w:r w:rsidRPr="00C915D3">
        <w:rPr>
          <w:rFonts w:ascii="Arial" w:hAnsi="Arial" w:cs="Arial"/>
          <w:sz w:val="24"/>
          <w:szCs w:val="24"/>
        </w:rPr>
        <w:t>(5013),1715–1718.</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Völkner, M., Lenz-Bohme, B., Betz, H., Schmitt, B., 2000. Novel CNS glutamate receptor subunit genes of </w:t>
      </w:r>
      <w:r w:rsidRPr="00C915D3">
        <w:rPr>
          <w:rFonts w:ascii="Arial" w:hAnsi="Arial" w:cs="Arial"/>
          <w:iCs/>
          <w:sz w:val="24"/>
          <w:szCs w:val="24"/>
        </w:rPr>
        <w:t>Drosophila melanogaster</w:t>
      </w:r>
      <w:r w:rsidRPr="00C915D3">
        <w:rPr>
          <w:rFonts w:ascii="Arial" w:hAnsi="Arial" w:cs="Arial"/>
          <w:sz w:val="24"/>
          <w:szCs w:val="24"/>
        </w:rPr>
        <w:t xml:space="preserve">. </w:t>
      </w:r>
      <w:r w:rsidRPr="00C915D3">
        <w:rPr>
          <w:rFonts w:ascii="Arial" w:hAnsi="Arial" w:cs="Arial"/>
          <w:iCs/>
          <w:sz w:val="24"/>
          <w:szCs w:val="24"/>
        </w:rPr>
        <w:t>J. Neurochem.</w:t>
      </w:r>
      <w:r w:rsidRPr="00C915D3">
        <w:rPr>
          <w:rFonts w:ascii="Arial" w:hAnsi="Arial" w:cs="Arial"/>
          <w:sz w:val="24"/>
          <w:szCs w:val="24"/>
        </w:rPr>
        <w:t xml:space="preserve"> </w:t>
      </w:r>
      <w:r w:rsidRPr="00C915D3">
        <w:rPr>
          <w:rFonts w:ascii="Arial" w:hAnsi="Arial" w:cs="Arial"/>
          <w:bCs/>
          <w:sz w:val="24"/>
          <w:szCs w:val="24"/>
        </w:rPr>
        <w:t>75</w:t>
      </w:r>
      <w:r w:rsidRPr="00C915D3">
        <w:rPr>
          <w:rFonts w:ascii="Arial" w:hAnsi="Arial" w:cs="Arial"/>
          <w:sz w:val="24"/>
          <w:szCs w:val="24"/>
        </w:rPr>
        <w:t>(5), 1791-1799.</w:t>
      </w:r>
    </w:p>
    <w:p w:rsidR="006B5EA8" w:rsidRPr="00C915D3" w:rsidRDefault="006B5EA8" w:rsidP="006B5EA8">
      <w:pPr>
        <w:spacing w:after="0" w:line="480" w:lineRule="auto"/>
        <w:jc w:val="both"/>
        <w:rPr>
          <w:rFonts w:ascii="Arial" w:hAnsi="Arial" w:cs="Arial"/>
          <w:sz w:val="24"/>
          <w:szCs w:val="24"/>
        </w:rPr>
      </w:pPr>
    </w:p>
    <w:p w:rsidR="006B5EA8" w:rsidRPr="00C915D3" w:rsidRDefault="006B5EA8" w:rsidP="006B5EA8">
      <w:pPr>
        <w:spacing w:after="0" w:line="480" w:lineRule="auto"/>
        <w:jc w:val="both"/>
        <w:rPr>
          <w:rFonts w:ascii="Arial" w:hAnsi="Arial" w:cs="Arial"/>
          <w:sz w:val="24"/>
          <w:szCs w:val="24"/>
        </w:rPr>
      </w:pPr>
      <w:r w:rsidRPr="00C915D3">
        <w:rPr>
          <w:rFonts w:ascii="Arial" w:hAnsi="Arial" w:cs="Arial"/>
          <w:sz w:val="24"/>
          <w:szCs w:val="24"/>
        </w:rPr>
        <w:t xml:space="preserve">Zhang, D., Kuromi, H., Kidokoro, Y., 1999. Activation of metabotropic glutamate receptors enhances synaptic transmission at the </w:t>
      </w:r>
      <w:r w:rsidRPr="00C915D3">
        <w:rPr>
          <w:rFonts w:ascii="Arial" w:hAnsi="Arial" w:cs="Arial"/>
          <w:iCs/>
          <w:sz w:val="24"/>
          <w:szCs w:val="24"/>
        </w:rPr>
        <w:t>Drosophila</w:t>
      </w:r>
      <w:r w:rsidRPr="00C915D3">
        <w:rPr>
          <w:rFonts w:ascii="Arial" w:hAnsi="Arial" w:cs="Arial"/>
          <w:sz w:val="24"/>
          <w:szCs w:val="24"/>
        </w:rPr>
        <w:t xml:space="preserve"> neuromuscular junction. </w:t>
      </w:r>
      <w:r w:rsidRPr="00C915D3">
        <w:rPr>
          <w:rFonts w:ascii="Arial" w:hAnsi="Arial" w:cs="Arial"/>
          <w:iCs/>
          <w:sz w:val="24"/>
          <w:szCs w:val="24"/>
        </w:rPr>
        <w:t>Neuropharmacol.</w:t>
      </w:r>
      <w:r w:rsidRPr="00C915D3">
        <w:rPr>
          <w:rFonts w:ascii="Arial" w:hAnsi="Arial" w:cs="Arial"/>
          <w:sz w:val="24"/>
          <w:szCs w:val="24"/>
        </w:rPr>
        <w:t xml:space="preserve"> </w:t>
      </w:r>
      <w:r w:rsidRPr="00C915D3">
        <w:rPr>
          <w:rFonts w:ascii="Arial" w:hAnsi="Arial" w:cs="Arial"/>
          <w:bCs/>
          <w:sz w:val="24"/>
          <w:szCs w:val="24"/>
        </w:rPr>
        <w:t xml:space="preserve">38, </w:t>
      </w:r>
      <w:r w:rsidRPr="00C915D3">
        <w:rPr>
          <w:rFonts w:ascii="Arial" w:hAnsi="Arial" w:cs="Arial"/>
          <w:sz w:val="24"/>
          <w:szCs w:val="24"/>
        </w:rPr>
        <w:t>645-657.</w:t>
      </w:r>
    </w:p>
    <w:p w:rsidR="006B5EA8" w:rsidRDefault="006B5EA8">
      <w:pPr>
        <w:rPr>
          <w:rFonts w:ascii="Arial" w:eastAsia="Times New Roman" w:hAnsi="Arial" w:cs="Arial"/>
          <w:sz w:val="24"/>
        </w:rPr>
      </w:pPr>
      <w:r>
        <w:rPr>
          <w:rFonts w:ascii="Arial" w:eastAsia="Times New Roman" w:hAnsi="Arial" w:cs="Arial"/>
          <w:sz w:val="24"/>
        </w:rPr>
        <w:br w:type="page"/>
      </w:r>
    </w:p>
    <w:p w:rsidR="009553FD" w:rsidRPr="001D4841" w:rsidRDefault="009553FD" w:rsidP="008E4CBF">
      <w:pPr>
        <w:tabs>
          <w:tab w:val="left" w:pos="-1440"/>
        </w:tabs>
        <w:spacing w:line="480" w:lineRule="auto"/>
        <w:jc w:val="both"/>
        <w:rPr>
          <w:rFonts w:ascii="Arial" w:eastAsia="Times New Roman" w:hAnsi="Arial" w:cs="Arial"/>
          <w:sz w:val="24"/>
        </w:rPr>
      </w:pPr>
    </w:p>
    <w:p w:rsidR="00166CDF" w:rsidRPr="001D4841" w:rsidRDefault="00594CD5" w:rsidP="008E4CBF">
      <w:pPr>
        <w:tabs>
          <w:tab w:val="left" w:pos="-1440"/>
        </w:tabs>
        <w:spacing w:line="480" w:lineRule="auto"/>
        <w:jc w:val="both"/>
        <w:rPr>
          <w:rFonts w:ascii="Arial" w:hAnsi="Arial"/>
          <w:sz w:val="24"/>
        </w:rPr>
      </w:pPr>
      <w:r>
        <w:rPr>
          <w:rFonts w:ascii="Arial" w:hAnsi="Arial"/>
          <w:noProof/>
          <w:sz w:val="24"/>
          <w:lang w:eastAsia="en-US"/>
        </w:rPr>
        <w:drawing>
          <wp:inline distT="0" distB="0" distL="0" distR="0">
            <wp:extent cx="3657600" cy="2103120"/>
            <wp:effectExtent l="19050" t="0" r="0" b="0"/>
            <wp:docPr id="12" name="Picture 11" descr="FIGURE1-cbp-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cbp-lowres.tif"/>
                    <pic:cNvPicPr/>
                  </pic:nvPicPr>
                  <pic:blipFill>
                    <a:blip r:embed="rId6" cstate="print"/>
                    <a:stretch>
                      <a:fillRect/>
                    </a:stretch>
                  </pic:blipFill>
                  <pic:spPr>
                    <a:xfrm>
                      <a:off x="0" y="0"/>
                      <a:ext cx="3657600" cy="2103120"/>
                    </a:xfrm>
                    <a:prstGeom prst="rect">
                      <a:avLst/>
                    </a:prstGeom>
                  </pic:spPr>
                </pic:pic>
              </a:graphicData>
            </a:graphic>
          </wp:inline>
        </w:drawing>
      </w:r>
    </w:p>
    <w:p w:rsidR="003A425A" w:rsidRPr="001D4841" w:rsidRDefault="003A425A" w:rsidP="008E4CBF">
      <w:pPr>
        <w:tabs>
          <w:tab w:val="left" w:pos="-1440"/>
        </w:tabs>
        <w:spacing w:after="0" w:line="480" w:lineRule="auto"/>
        <w:ind w:left="1440" w:hanging="1440"/>
        <w:jc w:val="both"/>
        <w:rPr>
          <w:rFonts w:ascii="Arial" w:hAnsi="Arial" w:cs="Arial"/>
          <w:sz w:val="24"/>
        </w:rPr>
      </w:pPr>
      <w:r w:rsidRPr="001D4841">
        <w:rPr>
          <w:rFonts w:ascii="Arial" w:eastAsia="Times New Roman" w:hAnsi="Arial" w:cs="Times New Roman"/>
          <w:b/>
          <w:bCs/>
          <w:sz w:val="24"/>
        </w:rPr>
        <w:t>Figure 1:</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Pr="001D4841">
        <w:rPr>
          <w:rFonts w:ascii="Arial" w:hAnsi="Arial"/>
          <w:sz w:val="24"/>
        </w:rPr>
        <w:t>T</w:t>
      </w:r>
      <w:r w:rsidRPr="001D4841">
        <w:rPr>
          <w:rFonts w:ascii="Arial" w:eastAsia="Times New Roman" w:hAnsi="Arial" w:cs="Times New Roman"/>
          <w:sz w:val="24"/>
        </w:rPr>
        <w:t>he</w:t>
      </w:r>
      <w:r w:rsidRPr="001D4841">
        <w:rPr>
          <w:rFonts w:ascii="Arial" w:hAnsi="Arial"/>
          <w:sz w:val="24"/>
        </w:rPr>
        <w:t xml:space="preserve"> dissected 3</w:t>
      </w:r>
      <w:r w:rsidRPr="001D4841">
        <w:rPr>
          <w:rFonts w:ascii="Arial" w:hAnsi="Arial"/>
          <w:sz w:val="24"/>
          <w:vertAlign w:val="superscript"/>
        </w:rPr>
        <w:t>rd</w:t>
      </w:r>
      <w:r w:rsidRPr="001D4841">
        <w:rPr>
          <w:rFonts w:ascii="Arial" w:hAnsi="Arial"/>
          <w:sz w:val="24"/>
        </w:rPr>
        <w:t xml:space="preserve"> instar</w:t>
      </w:r>
      <w:r w:rsidRPr="001D4841">
        <w:rPr>
          <w:rFonts w:ascii="Arial" w:eastAsia="Times New Roman" w:hAnsi="Arial" w:cs="Times New Roman"/>
          <w:sz w:val="24"/>
        </w:rPr>
        <w:t xml:space="preserve"> </w:t>
      </w:r>
      <w:r w:rsidRPr="00534E64">
        <w:rPr>
          <w:rFonts w:ascii="Arial" w:eastAsia="Times New Roman" w:hAnsi="Arial" w:cs="Times New Roman"/>
          <w:i/>
          <w:iCs/>
          <w:sz w:val="24"/>
        </w:rPr>
        <w:t>Drosophila</w:t>
      </w:r>
      <w:r w:rsidRPr="001D4841">
        <w:rPr>
          <w:rFonts w:ascii="Arial" w:eastAsia="Times New Roman" w:hAnsi="Arial" w:cs="Times New Roman"/>
          <w:sz w:val="24"/>
        </w:rPr>
        <w:t xml:space="preserve"> larva preparation.  (</w:t>
      </w:r>
      <w:r w:rsidRPr="001D4841">
        <w:rPr>
          <w:rFonts w:ascii="Arial" w:eastAsia="Times New Roman" w:hAnsi="Arial" w:cs="Times New Roman"/>
          <w:b/>
          <w:bCs/>
          <w:sz w:val="24"/>
        </w:rPr>
        <w:t>A</w:t>
      </w:r>
      <w:r w:rsidRPr="001D4841">
        <w:rPr>
          <w:rFonts w:ascii="Arial" w:eastAsia="Times New Roman" w:hAnsi="Arial" w:cs="Times New Roman"/>
          <w:sz w:val="24"/>
        </w:rPr>
        <w:t>) The preparation is pinned at the four corners to keep the preparation taut. The ventral abdominal muscle</w:t>
      </w:r>
      <w:r w:rsidRPr="001D4841">
        <w:rPr>
          <w:rFonts w:ascii="Arial" w:hAnsi="Arial"/>
          <w:sz w:val="24"/>
        </w:rPr>
        <w:t xml:space="preserve"> </w:t>
      </w:r>
      <w:r w:rsidRPr="001D4841">
        <w:rPr>
          <w:rFonts w:ascii="Arial" w:eastAsia="Times New Roman" w:hAnsi="Arial" w:cs="Times New Roman"/>
          <w:sz w:val="24"/>
        </w:rPr>
        <w:t xml:space="preserve">m6 </w:t>
      </w:r>
      <w:r w:rsidRPr="001D4841">
        <w:rPr>
          <w:rFonts w:ascii="Arial" w:hAnsi="Arial"/>
          <w:sz w:val="24"/>
        </w:rPr>
        <w:t>is</w:t>
      </w:r>
      <w:r w:rsidRPr="001D4841">
        <w:rPr>
          <w:rFonts w:ascii="Arial" w:eastAsia="Times New Roman" w:hAnsi="Arial" w:cs="Times New Roman"/>
          <w:sz w:val="24"/>
        </w:rPr>
        <w:t xml:space="preserve"> used in this study.  The segmental </w:t>
      </w:r>
      <w:r w:rsidRPr="001D4841">
        <w:rPr>
          <w:rFonts w:ascii="Arial" w:eastAsia="Times New Roman" w:hAnsi="Arial" w:cs="Arial"/>
          <w:sz w:val="24"/>
        </w:rPr>
        <w:t xml:space="preserve">nerves </w:t>
      </w:r>
      <w:r w:rsidRPr="001D4841">
        <w:rPr>
          <w:rFonts w:ascii="Arial" w:hAnsi="Arial" w:cs="Arial"/>
          <w:sz w:val="24"/>
        </w:rPr>
        <w:t>are</w:t>
      </w:r>
      <w:r w:rsidRPr="001D4841">
        <w:rPr>
          <w:rFonts w:ascii="Arial" w:eastAsia="Times New Roman" w:hAnsi="Arial" w:cs="Arial"/>
          <w:sz w:val="24"/>
        </w:rPr>
        <w:t xml:space="preserve"> stimulated by placing the nerve into a suction electrode and recruiting </w:t>
      </w:r>
      <w:r w:rsidRPr="001D4841">
        <w:rPr>
          <w:rFonts w:ascii="Arial" w:hAnsi="Arial" w:cs="Arial"/>
          <w:sz w:val="24"/>
        </w:rPr>
        <w:t>the Is and Ib motor</w:t>
      </w:r>
      <w:r w:rsidRPr="001D4841">
        <w:rPr>
          <w:rFonts w:ascii="Arial" w:eastAsia="Times New Roman" w:hAnsi="Arial" w:cs="Arial"/>
          <w:sz w:val="24"/>
        </w:rPr>
        <w:t xml:space="preserve"> neurons. (</w:t>
      </w:r>
      <w:r w:rsidRPr="001D4841">
        <w:rPr>
          <w:rFonts w:ascii="Arial" w:hAnsi="Arial" w:cs="Arial"/>
          <w:b/>
          <w:sz w:val="24"/>
        </w:rPr>
        <w:t>B</w:t>
      </w:r>
      <w:r w:rsidRPr="001D4841">
        <w:rPr>
          <w:rFonts w:ascii="Arial" w:eastAsia="Times New Roman" w:hAnsi="Arial" w:cs="Arial"/>
          <w:sz w:val="24"/>
        </w:rPr>
        <w:t xml:space="preserve">) </w:t>
      </w:r>
      <w:r w:rsidRPr="001D4841">
        <w:rPr>
          <w:rFonts w:ascii="Arial" w:eastAsia="Times New Roman" w:hAnsi="Arial" w:cs="Arial"/>
          <w:sz w:val="24"/>
          <w:szCs w:val="16"/>
        </w:rPr>
        <w:t>The terminals of Ib and Is on m6 and m7 are readily observed after treatment with fluorescently tagged anti-HRP antibody</w:t>
      </w:r>
      <w:r w:rsidRPr="001D4841">
        <w:rPr>
          <w:rFonts w:ascii="Arial" w:hAnsi="Arial" w:cs="Arial"/>
          <w:sz w:val="24"/>
          <w:szCs w:val="16"/>
        </w:rPr>
        <w:t xml:space="preserve"> (</w:t>
      </w:r>
      <w:r w:rsidRPr="001D4841">
        <w:rPr>
          <w:rFonts w:ascii="Arial" w:eastAsia="Times New Roman" w:hAnsi="Arial" w:cs="Arial"/>
          <w:sz w:val="24"/>
          <w:szCs w:val="16"/>
        </w:rPr>
        <w:t>Scale</w:t>
      </w:r>
      <w:r w:rsidR="005B2F11">
        <w:rPr>
          <w:rFonts w:ascii="Arial" w:eastAsia="Times New Roman" w:hAnsi="Arial" w:cs="Arial"/>
          <w:sz w:val="24"/>
          <w:szCs w:val="16"/>
        </w:rPr>
        <w:t>: 50</w:t>
      </w:r>
      <w:r w:rsidRPr="001D4841">
        <w:rPr>
          <w:rFonts w:ascii="Arial" w:eastAsia="Times New Roman" w:hAnsi="Arial" w:cs="Arial"/>
          <w:sz w:val="24"/>
          <w:szCs w:val="16"/>
        </w:rPr>
        <w:t>μm</w:t>
      </w:r>
      <w:r w:rsidRPr="001D4841">
        <w:rPr>
          <w:rFonts w:ascii="Arial" w:hAnsi="Arial" w:cs="Arial"/>
          <w:sz w:val="24"/>
          <w:szCs w:val="16"/>
        </w:rPr>
        <w:t>). (</w:t>
      </w:r>
      <w:r w:rsidRPr="001D4841">
        <w:rPr>
          <w:rFonts w:ascii="Arial" w:eastAsia="Times New Roman" w:hAnsi="Arial" w:cs="Times New Roman"/>
          <w:b/>
          <w:bCs/>
          <w:sz w:val="24"/>
        </w:rPr>
        <w:t>C</w:t>
      </w:r>
      <w:r w:rsidRPr="001D4841">
        <w:rPr>
          <w:rFonts w:ascii="Arial" w:eastAsia="Times New Roman" w:hAnsi="Arial" w:cs="Times New Roman"/>
          <w:sz w:val="24"/>
        </w:rPr>
        <w:t xml:space="preserve">) Elicited </w:t>
      </w:r>
      <w:r w:rsidRPr="001D4841">
        <w:rPr>
          <w:rFonts w:ascii="Arial" w:hAnsi="Arial"/>
          <w:sz w:val="24"/>
        </w:rPr>
        <w:t xml:space="preserve">excitatory postsynaptic potentials (EPSPs) </w:t>
      </w:r>
      <w:r w:rsidRPr="001D4841">
        <w:rPr>
          <w:rFonts w:ascii="Arial" w:eastAsia="Times New Roman" w:hAnsi="Arial" w:cs="Times New Roman"/>
          <w:sz w:val="24"/>
        </w:rPr>
        <w:t xml:space="preserve">in m6 </w:t>
      </w:r>
      <w:r w:rsidRPr="001D4841">
        <w:rPr>
          <w:rFonts w:ascii="Arial" w:hAnsi="Arial"/>
          <w:sz w:val="24"/>
        </w:rPr>
        <w:t>are measured</w:t>
      </w:r>
      <w:r w:rsidRPr="001D4841">
        <w:rPr>
          <w:rFonts w:ascii="Arial" w:eastAsia="Times New Roman" w:hAnsi="Arial" w:cs="Times New Roman"/>
          <w:sz w:val="24"/>
        </w:rPr>
        <w:t xml:space="preserve"> with a intracellular recording. </w:t>
      </w:r>
      <w:r w:rsidRPr="001D4841">
        <w:rPr>
          <w:rFonts w:ascii="Arial" w:eastAsia="Times New Roman" w:hAnsi="Arial" w:cs="Arial"/>
          <w:sz w:val="24"/>
        </w:rPr>
        <w:t xml:space="preserve">Representative individual responses from the Ib and Is  motor axons as well as the composite Ib and Is response are shown </w:t>
      </w:r>
      <w:r w:rsidRPr="001D4841">
        <w:rPr>
          <w:rFonts w:ascii="Arial" w:hAnsi="Arial" w:cs="Arial"/>
          <w:sz w:val="24"/>
        </w:rPr>
        <w:t>for</w:t>
      </w:r>
      <w:r w:rsidRPr="001D4841">
        <w:rPr>
          <w:rFonts w:ascii="Arial" w:eastAsia="Times New Roman" w:hAnsi="Arial" w:cs="Arial"/>
          <w:sz w:val="24"/>
        </w:rPr>
        <w:t xml:space="preserve"> </w:t>
      </w:r>
      <w:r w:rsidRPr="001D4841">
        <w:rPr>
          <w:rFonts w:ascii="Arial" w:hAnsi="Arial" w:cs="Arial"/>
          <w:sz w:val="24"/>
        </w:rPr>
        <w:t>a</w:t>
      </w:r>
      <w:r w:rsidRPr="001D4841">
        <w:rPr>
          <w:rFonts w:ascii="Arial" w:eastAsia="Times New Roman" w:hAnsi="Arial" w:cs="Arial"/>
          <w:sz w:val="24"/>
        </w:rPr>
        <w:t xml:space="preserve"> </w:t>
      </w:r>
      <w:r w:rsidRPr="001D4841">
        <w:rPr>
          <w:rFonts w:ascii="Arial" w:hAnsi="Arial" w:cs="Arial"/>
          <w:sz w:val="24"/>
        </w:rPr>
        <w:t xml:space="preserve">early </w:t>
      </w:r>
      <w:r w:rsidRPr="001D4841">
        <w:rPr>
          <w:rFonts w:ascii="Arial" w:eastAsia="Times New Roman" w:hAnsi="Arial" w:cs="Arial"/>
          <w:sz w:val="24"/>
        </w:rPr>
        <w:t>3rd instar</w:t>
      </w:r>
      <w:r w:rsidR="004A04AC">
        <w:rPr>
          <w:rFonts w:ascii="Arial" w:eastAsia="Times New Roman" w:hAnsi="Arial" w:cs="Arial"/>
          <w:sz w:val="24"/>
        </w:rPr>
        <w:t xml:space="preserve"> (modified from </w:t>
      </w:r>
      <w:r w:rsidR="004A04AC">
        <w:rPr>
          <w:rFonts w:ascii="ArialMT" w:hAnsi="ArialMT" w:cs="ArialMT"/>
          <w:sz w:val="24"/>
        </w:rPr>
        <w:t>Bhatt and Cooper, 2005).</w:t>
      </w:r>
    </w:p>
    <w:p w:rsidR="003A425A" w:rsidRPr="001D4841" w:rsidRDefault="003A425A" w:rsidP="008E4CBF">
      <w:pPr>
        <w:tabs>
          <w:tab w:val="left" w:pos="-1440"/>
        </w:tabs>
        <w:spacing w:after="0" w:line="480" w:lineRule="auto"/>
        <w:ind w:left="1440" w:hanging="1440"/>
        <w:jc w:val="both"/>
        <w:rPr>
          <w:rFonts w:ascii="Arial" w:hAnsi="Arial" w:cs="Arial"/>
          <w:sz w:val="24"/>
        </w:rPr>
      </w:pPr>
    </w:p>
    <w:p w:rsidR="00006E94" w:rsidRPr="001D4841" w:rsidRDefault="00006E94" w:rsidP="008E4CBF">
      <w:pPr>
        <w:tabs>
          <w:tab w:val="left" w:pos="-1440"/>
        </w:tabs>
        <w:spacing w:after="0" w:line="480" w:lineRule="auto"/>
        <w:ind w:left="1440" w:hanging="1440"/>
        <w:jc w:val="both"/>
        <w:rPr>
          <w:rFonts w:ascii="Arial" w:hAnsi="Arial" w:cs="Arial"/>
          <w:sz w:val="24"/>
        </w:rPr>
      </w:pPr>
    </w:p>
    <w:p w:rsidR="00006E94" w:rsidRPr="001D4841" w:rsidRDefault="00006E94" w:rsidP="008E4CBF">
      <w:pPr>
        <w:tabs>
          <w:tab w:val="left" w:pos="-1440"/>
        </w:tabs>
        <w:spacing w:after="0" w:line="480" w:lineRule="auto"/>
        <w:ind w:left="1440" w:hanging="1440"/>
        <w:jc w:val="both"/>
        <w:rPr>
          <w:rFonts w:ascii="Arial" w:hAnsi="Arial" w:cs="Arial"/>
          <w:sz w:val="24"/>
        </w:rPr>
      </w:pPr>
    </w:p>
    <w:p w:rsidR="00006E94" w:rsidRPr="001D4841" w:rsidRDefault="00F87590" w:rsidP="008E4CBF">
      <w:pPr>
        <w:tabs>
          <w:tab w:val="left" w:pos="-1440"/>
        </w:tabs>
        <w:spacing w:after="0" w:line="480" w:lineRule="auto"/>
        <w:ind w:left="1440" w:hanging="1440"/>
        <w:jc w:val="both"/>
        <w:rPr>
          <w:rFonts w:ascii="Arial" w:hAnsi="Arial" w:cs="Arial"/>
          <w:sz w:val="24"/>
        </w:rPr>
      </w:pPr>
      <w:r w:rsidRPr="001D4841">
        <w:rPr>
          <w:rFonts w:ascii="Arial" w:hAnsi="Arial" w:cs="Arial"/>
          <w:noProof/>
          <w:sz w:val="24"/>
          <w:lang w:eastAsia="en-US"/>
        </w:rPr>
        <w:lastRenderedPageBreak/>
        <w:drawing>
          <wp:inline distT="0" distB="0" distL="0" distR="0">
            <wp:extent cx="6430107" cy="4506433"/>
            <wp:effectExtent l="19050" t="0" r="8793" b="0"/>
            <wp:docPr id="10" name="Picture 9" descr="fig2new-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new-lowres.tif"/>
                    <pic:cNvPicPr/>
                  </pic:nvPicPr>
                  <pic:blipFill>
                    <a:blip r:embed="rId7" cstate="print"/>
                    <a:stretch>
                      <a:fillRect/>
                    </a:stretch>
                  </pic:blipFill>
                  <pic:spPr>
                    <a:xfrm>
                      <a:off x="0" y="0"/>
                      <a:ext cx="6431258" cy="4507240"/>
                    </a:xfrm>
                    <a:prstGeom prst="rect">
                      <a:avLst/>
                    </a:prstGeom>
                  </pic:spPr>
                </pic:pic>
              </a:graphicData>
            </a:graphic>
          </wp:inline>
        </w:drawing>
      </w:r>
    </w:p>
    <w:p w:rsidR="004656C3" w:rsidRPr="001D4841" w:rsidRDefault="003A425A" w:rsidP="008E4CBF">
      <w:pPr>
        <w:tabs>
          <w:tab w:val="left" w:pos="-1440"/>
        </w:tabs>
        <w:spacing w:after="0" w:line="480" w:lineRule="auto"/>
        <w:ind w:left="1440" w:hanging="1440"/>
        <w:jc w:val="both"/>
        <w:rPr>
          <w:rFonts w:ascii="Arial" w:hAnsi="Arial"/>
          <w:sz w:val="24"/>
        </w:rPr>
      </w:pPr>
      <w:r w:rsidRPr="001D4841">
        <w:rPr>
          <w:rFonts w:ascii="Arial" w:eastAsia="Times New Roman" w:hAnsi="Arial" w:cs="Times New Roman"/>
          <w:b/>
          <w:bCs/>
          <w:sz w:val="24"/>
        </w:rPr>
        <w:t xml:space="preserve">Figure </w:t>
      </w:r>
      <w:r w:rsidRPr="001D4841">
        <w:rPr>
          <w:rFonts w:ascii="Arial" w:hAnsi="Arial"/>
          <w:b/>
          <w:bCs/>
          <w:sz w:val="24"/>
        </w:rPr>
        <w:t>2</w:t>
      </w:r>
      <w:r w:rsidRPr="001D4841">
        <w:rPr>
          <w:rFonts w:ascii="Arial" w:eastAsia="Times New Roman" w:hAnsi="Arial" w:cs="Times New Roman"/>
          <w:b/>
          <w:bCs/>
          <w:sz w:val="24"/>
        </w:rPr>
        <w:t>:</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Pr="001D4841">
        <w:rPr>
          <w:rFonts w:ascii="Arial" w:hAnsi="Arial"/>
          <w:sz w:val="24"/>
        </w:rPr>
        <w:t xml:space="preserve">The effect of kainate </w:t>
      </w:r>
      <w:r w:rsidR="004656C3" w:rsidRPr="001D4841">
        <w:rPr>
          <w:rFonts w:ascii="Arial" w:hAnsi="Arial"/>
          <w:sz w:val="24"/>
        </w:rPr>
        <w:t>on the evoked EPSP amplitudes. (</w:t>
      </w:r>
      <w:r w:rsidR="004656C3" w:rsidRPr="001D4841">
        <w:rPr>
          <w:rFonts w:ascii="Arial" w:hAnsi="Arial"/>
          <w:b/>
          <w:sz w:val="24"/>
        </w:rPr>
        <w:t>A</w:t>
      </w:r>
      <w:r w:rsidR="004656C3" w:rsidRPr="001D4841">
        <w:rPr>
          <w:rFonts w:ascii="Arial" w:hAnsi="Arial"/>
          <w:sz w:val="24"/>
        </w:rPr>
        <w:t xml:space="preserve">) Application of 1mM kainate reduces the EPSP </w:t>
      </w:r>
      <w:r w:rsidR="00EC5AAE">
        <w:rPr>
          <w:rFonts w:ascii="Arial" w:hAnsi="Arial"/>
          <w:sz w:val="24"/>
        </w:rPr>
        <w:t xml:space="preserve">amplitude </w:t>
      </w:r>
      <w:r w:rsidR="004656C3" w:rsidRPr="001D4841">
        <w:rPr>
          <w:rFonts w:ascii="Arial" w:hAnsi="Arial"/>
          <w:sz w:val="24"/>
        </w:rPr>
        <w:t>rapidly and the effect can be partially washed out. (</w:t>
      </w:r>
      <w:r w:rsidR="004656C3" w:rsidRPr="001D4841">
        <w:rPr>
          <w:rFonts w:ascii="Arial" w:hAnsi="Arial"/>
          <w:b/>
          <w:sz w:val="24"/>
        </w:rPr>
        <w:t>B</w:t>
      </w:r>
      <w:r w:rsidR="004656C3" w:rsidRPr="001D4841">
        <w:rPr>
          <w:rFonts w:ascii="Arial" w:hAnsi="Arial"/>
          <w:sz w:val="24"/>
        </w:rPr>
        <w:t>) The dose-response effect in damping the EPSP amplitude. (</w:t>
      </w:r>
      <w:r w:rsidR="004656C3" w:rsidRPr="001D4841">
        <w:rPr>
          <w:rFonts w:ascii="Arial" w:hAnsi="Arial"/>
          <w:b/>
          <w:sz w:val="24"/>
        </w:rPr>
        <w:t>C</w:t>
      </w:r>
      <w:r w:rsidR="004656C3" w:rsidRPr="001D4841">
        <w:rPr>
          <w:rFonts w:ascii="Arial" w:hAnsi="Arial"/>
          <w:sz w:val="24"/>
        </w:rPr>
        <w:t>) The dose-response effects on the resting membrane potential for m6.</w:t>
      </w:r>
      <w:r w:rsidR="00A5144E" w:rsidRPr="001D4841">
        <w:rPr>
          <w:rFonts w:ascii="Arial" w:hAnsi="Arial"/>
          <w:sz w:val="24"/>
        </w:rPr>
        <w:t xml:space="preserve"> (</w:t>
      </w:r>
      <w:r w:rsidR="00A5144E" w:rsidRPr="001D4841">
        <w:rPr>
          <w:rFonts w:ascii="Arial" w:hAnsi="Arial"/>
          <w:b/>
          <w:sz w:val="24"/>
        </w:rPr>
        <w:t>D</w:t>
      </w:r>
      <w:r w:rsidR="00A5144E" w:rsidRPr="001D4841">
        <w:rPr>
          <w:rFonts w:ascii="Arial" w:hAnsi="Arial"/>
          <w:sz w:val="24"/>
        </w:rPr>
        <w:t>) Sham control for exchanging the saline bath and time</w:t>
      </w:r>
      <w:r w:rsidR="00AC627A" w:rsidRPr="001D4841">
        <w:rPr>
          <w:rFonts w:ascii="Arial" w:hAnsi="Arial"/>
          <w:sz w:val="24"/>
        </w:rPr>
        <w:t xml:space="preserve"> revealed a 13.5% drop in the EPSP amplitude</w:t>
      </w:r>
      <w:r w:rsidR="00A5144E" w:rsidRPr="001D4841">
        <w:rPr>
          <w:rFonts w:ascii="Arial" w:hAnsi="Arial"/>
          <w:sz w:val="24"/>
        </w:rPr>
        <w:t xml:space="preserve">. </w:t>
      </w:r>
    </w:p>
    <w:p w:rsidR="00BC316B" w:rsidRPr="001D4841" w:rsidRDefault="00BC316B" w:rsidP="00BC316B">
      <w:pPr>
        <w:tabs>
          <w:tab w:val="left" w:pos="-1440"/>
        </w:tabs>
        <w:spacing w:after="0" w:line="480" w:lineRule="auto"/>
        <w:ind w:left="1440" w:hanging="1440"/>
        <w:jc w:val="both"/>
        <w:rPr>
          <w:rFonts w:ascii="Arial" w:eastAsia="Times New Roman" w:hAnsi="Arial" w:cs="Times New Roman"/>
          <w:b/>
          <w:bCs/>
          <w:sz w:val="24"/>
        </w:rPr>
      </w:pPr>
      <w:r w:rsidRPr="001D4841">
        <w:rPr>
          <w:rFonts w:ascii="Arial" w:eastAsia="Times New Roman" w:hAnsi="Arial" w:cs="Times New Roman"/>
          <w:b/>
          <w:bCs/>
          <w:noProof/>
          <w:sz w:val="24"/>
          <w:lang w:eastAsia="en-US"/>
        </w:rPr>
        <w:lastRenderedPageBreak/>
        <w:drawing>
          <wp:inline distT="0" distB="0" distL="0" distR="0">
            <wp:extent cx="3224372" cy="5930721"/>
            <wp:effectExtent l="19050" t="0" r="0" b="0"/>
            <wp:docPr id="2" name="Picture 6" descr="fig4-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lowres.tif"/>
                    <pic:cNvPicPr/>
                  </pic:nvPicPr>
                  <pic:blipFill>
                    <a:blip r:embed="rId8" cstate="print"/>
                    <a:stretch>
                      <a:fillRect/>
                    </a:stretch>
                  </pic:blipFill>
                  <pic:spPr>
                    <a:xfrm>
                      <a:off x="0" y="0"/>
                      <a:ext cx="3223196" cy="5928558"/>
                    </a:xfrm>
                    <a:prstGeom prst="rect">
                      <a:avLst/>
                    </a:prstGeom>
                  </pic:spPr>
                </pic:pic>
              </a:graphicData>
            </a:graphic>
          </wp:inline>
        </w:drawing>
      </w:r>
    </w:p>
    <w:p w:rsidR="00BC316B" w:rsidRPr="001D4841" w:rsidRDefault="00BC316B" w:rsidP="00BC316B">
      <w:pPr>
        <w:tabs>
          <w:tab w:val="left" w:pos="-1440"/>
        </w:tabs>
        <w:spacing w:after="0" w:line="480" w:lineRule="auto"/>
        <w:ind w:left="1440" w:hanging="1440"/>
        <w:jc w:val="both"/>
        <w:rPr>
          <w:rFonts w:ascii="Arial" w:eastAsia="Times New Roman" w:hAnsi="Arial" w:cs="Times New Roman"/>
          <w:b/>
          <w:bCs/>
          <w:sz w:val="24"/>
        </w:rPr>
      </w:pPr>
    </w:p>
    <w:p w:rsidR="00BC316B" w:rsidRPr="001D4841" w:rsidRDefault="00BC316B" w:rsidP="00BC316B">
      <w:pPr>
        <w:tabs>
          <w:tab w:val="left" w:pos="-1440"/>
        </w:tabs>
        <w:spacing w:after="0" w:line="480" w:lineRule="auto"/>
        <w:ind w:left="1440" w:hanging="1440"/>
        <w:jc w:val="both"/>
        <w:rPr>
          <w:rFonts w:ascii="Arial" w:hAnsi="Arial"/>
          <w:sz w:val="24"/>
        </w:rPr>
      </w:pPr>
      <w:r w:rsidRPr="001D4841">
        <w:rPr>
          <w:rFonts w:ascii="Arial" w:eastAsia="Times New Roman" w:hAnsi="Arial" w:cs="Times New Roman"/>
          <w:b/>
          <w:bCs/>
          <w:sz w:val="24"/>
        </w:rPr>
        <w:t xml:space="preserve">Figure </w:t>
      </w:r>
      <w:r>
        <w:rPr>
          <w:rFonts w:ascii="Arial" w:eastAsia="Times New Roman" w:hAnsi="Arial" w:cs="Times New Roman"/>
          <w:b/>
          <w:bCs/>
          <w:sz w:val="24"/>
        </w:rPr>
        <w:t>3</w:t>
      </w:r>
      <w:r w:rsidRPr="001D4841">
        <w:rPr>
          <w:rFonts w:ascii="Arial" w:eastAsia="Times New Roman" w:hAnsi="Arial" w:cs="Times New Roman"/>
          <w:b/>
          <w:bCs/>
          <w:sz w:val="24"/>
        </w:rPr>
        <w:t>:</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Pr="001D4841">
        <w:rPr>
          <w:rFonts w:ascii="Arial" w:hAnsi="Arial"/>
          <w:sz w:val="24"/>
        </w:rPr>
        <w:t>Effects of kainate (1 and 0.5 mM) on mEPSPs properties. (</w:t>
      </w:r>
      <w:r w:rsidRPr="001D4841">
        <w:rPr>
          <w:rFonts w:ascii="Arial" w:hAnsi="Arial"/>
          <w:b/>
          <w:sz w:val="24"/>
        </w:rPr>
        <w:t>A</w:t>
      </w:r>
      <w:r w:rsidRPr="001D4841">
        <w:rPr>
          <w:rFonts w:ascii="Arial" w:hAnsi="Arial"/>
          <w:sz w:val="24"/>
        </w:rPr>
        <w:t>) Spontaneous or mEPSPs (miniature EPSPs) are reduced in amplitude upon exposure. (</w:t>
      </w:r>
      <w:r w:rsidRPr="001D4841">
        <w:rPr>
          <w:rFonts w:ascii="Arial" w:hAnsi="Arial"/>
          <w:b/>
          <w:sz w:val="24"/>
        </w:rPr>
        <w:t>B</w:t>
      </w:r>
      <w:r w:rsidRPr="001D4841">
        <w:rPr>
          <w:rFonts w:ascii="Arial" w:hAnsi="Arial"/>
          <w:sz w:val="24"/>
        </w:rPr>
        <w:t xml:space="preserve">) The frequency of mEPSPs is reduced by </w:t>
      </w:r>
      <w:r w:rsidR="008F0F65" w:rsidRPr="001D4841">
        <w:rPr>
          <w:rFonts w:ascii="Arial" w:hAnsi="Arial"/>
          <w:sz w:val="24"/>
        </w:rPr>
        <w:t xml:space="preserve">kainate </w:t>
      </w:r>
      <w:r w:rsidRPr="001D4841">
        <w:rPr>
          <w:rFonts w:ascii="Arial" w:hAnsi="Arial"/>
          <w:sz w:val="24"/>
        </w:rPr>
        <w:t>in a dose-dependent manner, as well as the</w:t>
      </w:r>
      <w:r>
        <w:rPr>
          <w:rFonts w:ascii="Arial" w:hAnsi="Arial"/>
          <w:sz w:val="24"/>
        </w:rPr>
        <w:t xml:space="preserve"> (</w:t>
      </w:r>
      <w:r w:rsidRPr="00A65A2E">
        <w:rPr>
          <w:rFonts w:ascii="Arial" w:hAnsi="Arial"/>
          <w:b/>
          <w:sz w:val="24"/>
        </w:rPr>
        <w:t>C</w:t>
      </w:r>
      <w:r>
        <w:rPr>
          <w:rFonts w:ascii="Arial" w:hAnsi="Arial"/>
          <w:sz w:val="24"/>
        </w:rPr>
        <w:t>)</w:t>
      </w:r>
      <w:r w:rsidRPr="001D4841">
        <w:rPr>
          <w:rFonts w:ascii="Arial" w:hAnsi="Arial"/>
          <w:sz w:val="24"/>
        </w:rPr>
        <w:t xml:space="preserve"> amplitude and area of the mEPSPs.</w:t>
      </w:r>
    </w:p>
    <w:p w:rsidR="004656C3" w:rsidRPr="001D4841" w:rsidRDefault="004656C3" w:rsidP="008E4CBF">
      <w:pPr>
        <w:tabs>
          <w:tab w:val="left" w:pos="-1440"/>
        </w:tabs>
        <w:spacing w:after="0" w:line="480" w:lineRule="auto"/>
        <w:ind w:left="1440" w:hanging="1440"/>
        <w:jc w:val="both"/>
        <w:rPr>
          <w:rFonts w:ascii="Arial" w:hAnsi="Arial"/>
          <w:sz w:val="24"/>
        </w:rPr>
      </w:pPr>
    </w:p>
    <w:p w:rsidR="00913A19" w:rsidRPr="001D4841" w:rsidRDefault="00913A19" w:rsidP="008E4CBF">
      <w:pPr>
        <w:tabs>
          <w:tab w:val="left" w:pos="-1440"/>
        </w:tabs>
        <w:spacing w:after="0" w:line="480" w:lineRule="auto"/>
        <w:ind w:left="1440" w:hanging="1440"/>
        <w:jc w:val="both"/>
        <w:rPr>
          <w:rFonts w:ascii="Arial" w:eastAsia="Times New Roman" w:hAnsi="Arial" w:cs="Times New Roman"/>
          <w:b/>
          <w:bCs/>
          <w:sz w:val="24"/>
        </w:rPr>
      </w:pPr>
    </w:p>
    <w:p w:rsidR="008C25B9" w:rsidRPr="001D4841" w:rsidRDefault="009236A1" w:rsidP="008E4CBF">
      <w:pPr>
        <w:spacing w:line="480" w:lineRule="auto"/>
        <w:rPr>
          <w:rFonts w:ascii="Arial" w:eastAsia="Times New Roman" w:hAnsi="Arial" w:cs="Times New Roman"/>
          <w:b/>
          <w:bCs/>
          <w:sz w:val="24"/>
        </w:rPr>
      </w:pPr>
      <w:r>
        <w:rPr>
          <w:rFonts w:ascii="Arial" w:eastAsia="Times New Roman" w:hAnsi="Arial" w:cs="Times New Roman"/>
          <w:b/>
          <w:bCs/>
          <w:noProof/>
          <w:sz w:val="24"/>
          <w:lang w:eastAsia="en-US"/>
        </w:rPr>
        <w:drawing>
          <wp:inline distT="0" distB="0" distL="0" distR="0">
            <wp:extent cx="3659571" cy="7126677"/>
            <wp:effectExtent l="19050" t="0" r="0" b="0"/>
            <wp:docPr id="1" name="Picture 0" descr="fig3-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lowres.tif"/>
                    <pic:cNvPicPr/>
                  </pic:nvPicPr>
                  <pic:blipFill>
                    <a:blip r:embed="rId9" cstate="print"/>
                    <a:stretch>
                      <a:fillRect/>
                    </a:stretch>
                  </pic:blipFill>
                  <pic:spPr>
                    <a:xfrm>
                      <a:off x="0" y="0"/>
                      <a:ext cx="3662377" cy="7132141"/>
                    </a:xfrm>
                    <a:prstGeom prst="rect">
                      <a:avLst/>
                    </a:prstGeom>
                  </pic:spPr>
                </pic:pic>
              </a:graphicData>
            </a:graphic>
          </wp:inline>
        </w:drawing>
      </w:r>
    </w:p>
    <w:p w:rsidR="004441B5" w:rsidRPr="001D4841" w:rsidRDefault="004656C3" w:rsidP="008E4CBF">
      <w:pPr>
        <w:tabs>
          <w:tab w:val="left" w:pos="-1440"/>
        </w:tabs>
        <w:spacing w:after="0" w:line="480" w:lineRule="auto"/>
        <w:ind w:left="1440" w:hanging="1440"/>
        <w:jc w:val="both"/>
        <w:rPr>
          <w:rFonts w:ascii="Arial" w:hAnsi="Arial"/>
          <w:sz w:val="24"/>
        </w:rPr>
      </w:pPr>
      <w:r w:rsidRPr="001D4841">
        <w:rPr>
          <w:rFonts w:ascii="Arial" w:eastAsia="Times New Roman" w:hAnsi="Arial" w:cs="Times New Roman"/>
          <w:b/>
          <w:bCs/>
          <w:sz w:val="24"/>
        </w:rPr>
        <w:lastRenderedPageBreak/>
        <w:t xml:space="preserve">Figure </w:t>
      </w:r>
      <w:r w:rsidR="00BC316B">
        <w:rPr>
          <w:rFonts w:ascii="Arial" w:eastAsia="Times New Roman" w:hAnsi="Arial" w:cs="Times New Roman"/>
          <w:b/>
          <w:bCs/>
          <w:sz w:val="24"/>
        </w:rPr>
        <w:t>4</w:t>
      </w:r>
      <w:r w:rsidRPr="001D4841">
        <w:rPr>
          <w:rFonts w:ascii="Arial" w:eastAsia="Times New Roman" w:hAnsi="Arial" w:cs="Times New Roman"/>
          <w:b/>
          <w:bCs/>
          <w:sz w:val="24"/>
        </w:rPr>
        <w:t>:</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004441B5" w:rsidRPr="001D4841">
        <w:rPr>
          <w:rFonts w:ascii="Arial" w:hAnsi="Arial"/>
          <w:sz w:val="24"/>
        </w:rPr>
        <w:t>E</w:t>
      </w:r>
      <w:r w:rsidRPr="001D4841">
        <w:rPr>
          <w:rFonts w:ascii="Arial" w:hAnsi="Arial"/>
          <w:sz w:val="24"/>
        </w:rPr>
        <w:t>ffect</w:t>
      </w:r>
      <w:r w:rsidR="004441B5" w:rsidRPr="001D4841">
        <w:rPr>
          <w:rFonts w:ascii="Arial" w:hAnsi="Arial"/>
          <w:sz w:val="24"/>
        </w:rPr>
        <w:t>s</w:t>
      </w:r>
      <w:r w:rsidRPr="001D4841">
        <w:rPr>
          <w:rFonts w:ascii="Arial" w:hAnsi="Arial"/>
          <w:sz w:val="24"/>
        </w:rPr>
        <w:t xml:space="preserve"> of domoic acid</w:t>
      </w:r>
      <w:r w:rsidR="004441B5" w:rsidRPr="001D4841">
        <w:rPr>
          <w:rFonts w:ascii="Arial" w:hAnsi="Arial"/>
          <w:sz w:val="24"/>
        </w:rPr>
        <w:t xml:space="preserve"> (agonist for AMPA and kainate receptors) at the NMJ.  (</w:t>
      </w:r>
      <w:r w:rsidR="004441B5" w:rsidRPr="001D4841">
        <w:rPr>
          <w:rFonts w:ascii="Arial" w:hAnsi="Arial"/>
          <w:b/>
          <w:sz w:val="24"/>
        </w:rPr>
        <w:t>A</w:t>
      </w:r>
      <w:r w:rsidR="004441B5" w:rsidRPr="001D4841">
        <w:rPr>
          <w:rFonts w:ascii="Arial" w:hAnsi="Arial"/>
          <w:sz w:val="24"/>
        </w:rPr>
        <w:t>) Spontaneous or mEPSPs (miniature EPSPs) are reduced in amplitude upon exposure to domoic acid. (</w:t>
      </w:r>
      <w:r w:rsidR="004441B5" w:rsidRPr="001D4841">
        <w:rPr>
          <w:rFonts w:ascii="Arial" w:hAnsi="Arial"/>
          <w:b/>
          <w:sz w:val="24"/>
        </w:rPr>
        <w:t>B</w:t>
      </w:r>
      <w:r w:rsidR="004441B5" w:rsidRPr="001D4841">
        <w:rPr>
          <w:rFonts w:ascii="Arial" w:hAnsi="Arial"/>
          <w:sz w:val="24"/>
        </w:rPr>
        <w:t>) The frequency of mEPSPs is reduced by domoic acid in a dose-dependent manner. Glutamate mimics the effect. (</w:t>
      </w:r>
      <w:r w:rsidR="004441B5" w:rsidRPr="001D4841">
        <w:rPr>
          <w:rFonts w:ascii="Arial" w:hAnsi="Arial"/>
          <w:b/>
          <w:sz w:val="24"/>
        </w:rPr>
        <w:t>C</w:t>
      </w:r>
      <w:r w:rsidR="004441B5" w:rsidRPr="001D4841">
        <w:rPr>
          <w:rFonts w:ascii="Arial" w:hAnsi="Arial"/>
          <w:sz w:val="24"/>
        </w:rPr>
        <w:t>) Domoic acid results in a slight depolarization of the muscle but not as drastic as glutamate. Domoic acid attenuates the effect of glutamate on membrane depolarization.</w:t>
      </w:r>
    </w:p>
    <w:p w:rsidR="008C25B9" w:rsidRPr="001D4841" w:rsidRDefault="00E77B94" w:rsidP="008E4CBF">
      <w:pPr>
        <w:tabs>
          <w:tab w:val="left" w:pos="-1440"/>
        </w:tabs>
        <w:spacing w:after="0" w:line="480" w:lineRule="auto"/>
        <w:ind w:left="1440" w:hanging="1440"/>
        <w:jc w:val="both"/>
        <w:rPr>
          <w:rFonts w:ascii="Arial" w:hAnsi="Arial" w:cs="Arial"/>
          <w:sz w:val="24"/>
          <w:szCs w:val="24"/>
        </w:rPr>
      </w:pPr>
      <w:r w:rsidRPr="001D4841">
        <w:rPr>
          <w:rFonts w:ascii="Arial" w:hAnsi="Arial" w:cs="Arial"/>
          <w:noProof/>
          <w:sz w:val="24"/>
          <w:szCs w:val="24"/>
          <w:lang w:eastAsia="en-US"/>
        </w:rPr>
        <w:lastRenderedPageBreak/>
        <w:drawing>
          <wp:inline distT="0" distB="0" distL="0" distR="0">
            <wp:extent cx="3611257" cy="6891753"/>
            <wp:effectExtent l="19050" t="0" r="8243" b="0"/>
            <wp:docPr id="8" name="Picture 7" descr="fig5-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lowres.tif"/>
                    <pic:cNvPicPr/>
                  </pic:nvPicPr>
                  <pic:blipFill>
                    <a:blip r:embed="rId10" cstate="print"/>
                    <a:stretch>
                      <a:fillRect/>
                    </a:stretch>
                  </pic:blipFill>
                  <pic:spPr>
                    <a:xfrm>
                      <a:off x="0" y="0"/>
                      <a:ext cx="3611257" cy="6891753"/>
                    </a:xfrm>
                    <a:prstGeom prst="rect">
                      <a:avLst/>
                    </a:prstGeom>
                  </pic:spPr>
                </pic:pic>
              </a:graphicData>
            </a:graphic>
          </wp:inline>
        </w:drawing>
      </w:r>
    </w:p>
    <w:p w:rsidR="00196A20" w:rsidRDefault="00196A20" w:rsidP="008E4CBF">
      <w:pPr>
        <w:tabs>
          <w:tab w:val="left" w:pos="-1440"/>
        </w:tabs>
        <w:spacing w:after="0" w:line="480" w:lineRule="auto"/>
        <w:ind w:left="1440" w:hanging="1440"/>
        <w:jc w:val="both"/>
        <w:rPr>
          <w:rFonts w:ascii="Arial" w:hAnsi="Arial"/>
          <w:sz w:val="24"/>
        </w:rPr>
      </w:pPr>
      <w:r w:rsidRPr="001D4841">
        <w:rPr>
          <w:rFonts w:ascii="Arial" w:eastAsia="Times New Roman" w:hAnsi="Arial" w:cs="Times New Roman"/>
          <w:b/>
          <w:bCs/>
          <w:sz w:val="24"/>
        </w:rPr>
        <w:t xml:space="preserve">Figure </w:t>
      </w:r>
      <w:r w:rsidRPr="001D4841">
        <w:rPr>
          <w:rFonts w:ascii="Arial" w:hAnsi="Arial"/>
          <w:b/>
          <w:bCs/>
          <w:sz w:val="24"/>
        </w:rPr>
        <w:t>5</w:t>
      </w:r>
      <w:r w:rsidRPr="001D4841">
        <w:rPr>
          <w:rFonts w:ascii="Arial" w:eastAsia="Times New Roman" w:hAnsi="Arial" w:cs="Times New Roman"/>
          <w:b/>
          <w:bCs/>
          <w:sz w:val="24"/>
        </w:rPr>
        <w:t>:</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Pr="001D4841">
        <w:rPr>
          <w:rFonts w:ascii="Arial" w:hAnsi="Arial"/>
          <w:sz w:val="24"/>
        </w:rPr>
        <w:t>Effects of ATPA (</w:t>
      </w:r>
      <w:r w:rsidR="003E6849" w:rsidRPr="001D4841">
        <w:rPr>
          <w:rFonts w:ascii="Arial" w:hAnsi="Arial"/>
          <w:sz w:val="24"/>
        </w:rPr>
        <w:t xml:space="preserve">1 mM; </w:t>
      </w:r>
      <w:r w:rsidRPr="001D4841">
        <w:rPr>
          <w:rFonts w:ascii="Arial" w:hAnsi="Arial" w:cs="Arial"/>
        </w:rPr>
        <w:t xml:space="preserve">a selective agonist of </w:t>
      </w:r>
      <w:r w:rsidR="00A65A2E">
        <w:rPr>
          <w:rFonts w:ascii="Arial" w:hAnsi="Arial" w:cs="Arial"/>
        </w:rPr>
        <w:t xml:space="preserve">vertebrate </w:t>
      </w:r>
      <w:r w:rsidRPr="001D4841">
        <w:rPr>
          <w:rFonts w:ascii="Arial" w:hAnsi="Arial" w:cs="Arial"/>
        </w:rPr>
        <w:t xml:space="preserve">GluR5, kainate </w:t>
      </w:r>
      <w:r w:rsidRPr="001D4841">
        <w:rPr>
          <w:rStyle w:val="Emphasis"/>
          <w:rFonts w:ascii="Arial" w:hAnsi="Arial" w:cs="Arial"/>
          <w:b w:val="0"/>
        </w:rPr>
        <w:t>receptors</w:t>
      </w:r>
      <w:r w:rsidRPr="001D4841">
        <w:rPr>
          <w:rStyle w:val="Emphasis"/>
          <w:rFonts w:ascii="Arial" w:hAnsi="Arial" w:cs="Arial"/>
        </w:rPr>
        <w:t xml:space="preserve">) </w:t>
      </w:r>
      <w:r w:rsidRPr="001D4841">
        <w:rPr>
          <w:rFonts w:ascii="Arial" w:hAnsi="Arial"/>
          <w:sz w:val="24"/>
        </w:rPr>
        <w:t>on the amplitude of evoked EPSPs (</w:t>
      </w:r>
      <w:r w:rsidRPr="001D4841">
        <w:rPr>
          <w:rFonts w:ascii="Arial" w:hAnsi="Arial"/>
          <w:b/>
          <w:sz w:val="24"/>
        </w:rPr>
        <w:t>A</w:t>
      </w:r>
      <w:r w:rsidRPr="001D4841">
        <w:rPr>
          <w:rFonts w:ascii="Arial" w:hAnsi="Arial"/>
          <w:sz w:val="24"/>
        </w:rPr>
        <w:t>) and mEPSPs (</w:t>
      </w:r>
      <w:r w:rsidRPr="001D4841">
        <w:rPr>
          <w:rFonts w:ascii="Arial" w:hAnsi="Arial"/>
          <w:b/>
          <w:sz w:val="24"/>
        </w:rPr>
        <w:t>B</w:t>
      </w:r>
      <w:r w:rsidRPr="001D4841">
        <w:rPr>
          <w:rFonts w:ascii="Arial" w:hAnsi="Arial"/>
          <w:sz w:val="24"/>
        </w:rPr>
        <w:t>) as well as the resting membrane potential of the muscle (</w:t>
      </w:r>
      <w:r w:rsidRPr="001D4841">
        <w:rPr>
          <w:rFonts w:ascii="Arial" w:hAnsi="Arial"/>
          <w:b/>
          <w:sz w:val="24"/>
        </w:rPr>
        <w:t>C</w:t>
      </w:r>
      <w:r w:rsidRPr="001D4841">
        <w:rPr>
          <w:rFonts w:ascii="Arial" w:hAnsi="Arial"/>
          <w:sz w:val="24"/>
        </w:rPr>
        <w:t>).</w:t>
      </w:r>
      <w:r w:rsidR="003E6849" w:rsidRPr="001D4841">
        <w:rPr>
          <w:rFonts w:ascii="Arial" w:hAnsi="Arial"/>
          <w:sz w:val="24"/>
        </w:rPr>
        <w:t xml:space="preserve"> </w:t>
      </w:r>
    </w:p>
    <w:p w:rsidR="000129F5" w:rsidRDefault="000129F5" w:rsidP="008E4CBF">
      <w:pPr>
        <w:tabs>
          <w:tab w:val="left" w:pos="-1440"/>
        </w:tabs>
        <w:spacing w:after="0" w:line="480" w:lineRule="auto"/>
        <w:ind w:left="1440" w:hanging="1440"/>
        <w:jc w:val="both"/>
        <w:rPr>
          <w:rFonts w:ascii="Arial" w:hAnsi="Arial"/>
          <w:sz w:val="24"/>
        </w:rPr>
      </w:pPr>
    </w:p>
    <w:p w:rsidR="000129F5" w:rsidRDefault="000129F5">
      <w:pPr>
        <w:rPr>
          <w:rFonts w:ascii="Arial" w:hAnsi="Arial"/>
          <w:sz w:val="24"/>
        </w:rPr>
      </w:pPr>
      <w:r>
        <w:rPr>
          <w:rFonts w:ascii="Arial" w:hAnsi="Arial"/>
          <w:sz w:val="24"/>
        </w:rPr>
        <w:br w:type="page"/>
      </w:r>
    </w:p>
    <w:p w:rsidR="00512351" w:rsidRDefault="00512351" w:rsidP="000129F5">
      <w:pPr>
        <w:pStyle w:val="authors1"/>
        <w:spacing w:before="0" w:line="480" w:lineRule="auto"/>
        <w:ind w:left="0"/>
        <w:jc w:val="both"/>
        <w:rPr>
          <w:rFonts w:ascii="Arial" w:hAnsi="Arial" w:cs="Arial"/>
          <w:b/>
          <w:sz w:val="24"/>
          <w:szCs w:val="24"/>
        </w:rPr>
      </w:pPr>
      <w:r>
        <w:rPr>
          <w:rFonts w:ascii="Arial" w:hAnsi="Arial" w:cs="Arial"/>
          <w:b/>
          <w:noProof/>
          <w:sz w:val="24"/>
          <w:szCs w:val="24"/>
        </w:rPr>
        <w:lastRenderedPageBreak/>
        <w:drawing>
          <wp:inline distT="0" distB="0" distL="0" distR="0">
            <wp:extent cx="2899410" cy="3765367"/>
            <wp:effectExtent l="19050" t="0" r="0" b="0"/>
            <wp:docPr id="7" name="Picture 6" descr="FIGURE6-CBPsubmitL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CBPsubmitLR.tif"/>
                    <pic:cNvPicPr/>
                  </pic:nvPicPr>
                  <pic:blipFill>
                    <a:blip r:embed="rId11" cstate="print"/>
                    <a:stretch>
                      <a:fillRect/>
                    </a:stretch>
                  </pic:blipFill>
                  <pic:spPr>
                    <a:xfrm>
                      <a:off x="0" y="0"/>
                      <a:ext cx="2900154" cy="3766334"/>
                    </a:xfrm>
                    <a:prstGeom prst="rect">
                      <a:avLst/>
                    </a:prstGeom>
                  </pic:spPr>
                </pic:pic>
              </a:graphicData>
            </a:graphic>
          </wp:inline>
        </w:drawing>
      </w:r>
    </w:p>
    <w:p w:rsidR="000129F5" w:rsidRPr="000129F5" w:rsidRDefault="003679A5" w:rsidP="000129F5">
      <w:pPr>
        <w:pStyle w:val="authors1"/>
        <w:spacing w:before="0" w:line="480" w:lineRule="auto"/>
        <w:ind w:left="0"/>
        <w:jc w:val="both"/>
        <w:rPr>
          <w:rFonts w:ascii="TimesNewRomanPSMT" w:hAnsi="TimesNewRomanPSMT" w:cs="TimesNewRomanPSMT"/>
          <w:sz w:val="24"/>
        </w:rPr>
      </w:pPr>
      <w:r w:rsidRPr="00042E20">
        <w:rPr>
          <w:rFonts w:ascii="Arial" w:hAnsi="Arial" w:cs="Arial"/>
          <w:b/>
          <w:sz w:val="24"/>
          <w:szCs w:val="24"/>
        </w:rPr>
        <w:t>Figure 6</w:t>
      </w:r>
      <w:r>
        <w:rPr>
          <w:rFonts w:ascii="Arial" w:hAnsi="Arial" w:cs="Arial"/>
          <w:b/>
          <w:sz w:val="24"/>
          <w:szCs w:val="24"/>
        </w:rPr>
        <w:t xml:space="preserve">: </w:t>
      </w:r>
      <w:r w:rsidR="000129F5" w:rsidRPr="00042E20">
        <w:rPr>
          <w:rFonts w:ascii="Arial" w:hAnsi="Arial" w:cs="Arial"/>
          <w:bCs/>
          <w:kern w:val="36"/>
          <w:sz w:val="24"/>
          <w:szCs w:val="24"/>
        </w:rPr>
        <w:t>SYM 2081</w:t>
      </w:r>
      <w:r w:rsidR="000129F5" w:rsidRPr="00042E20">
        <w:rPr>
          <w:rFonts w:ascii="TimesNewRomanPSMT" w:hAnsi="TimesNewRomanPSMT" w:cs="TimesNewRomanPSMT"/>
          <w:sz w:val="24"/>
        </w:rPr>
        <w:t xml:space="preserve"> at 1mM depolarize</w:t>
      </w:r>
      <w:r>
        <w:rPr>
          <w:rFonts w:ascii="TimesNewRomanPSMT" w:hAnsi="TimesNewRomanPSMT" w:cs="TimesNewRomanPSMT"/>
          <w:sz w:val="24"/>
        </w:rPr>
        <w:t>s</w:t>
      </w:r>
      <w:r w:rsidR="000129F5" w:rsidRPr="00042E20">
        <w:rPr>
          <w:rFonts w:ascii="TimesNewRomanPSMT" w:hAnsi="TimesNewRomanPSMT" w:cs="TimesNewRomanPSMT"/>
          <w:sz w:val="24"/>
        </w:rPr>
        <w:t xml:space="preserve"> the muscle </w:t>
      </w:r>
      <w:r w:rsidR="000129F5" w:rsidRPr="00042E20">
        <w:rPr>
          <w:rFonts w:ascii="Arial" w:hAnsi="Arial" w:cs="Arial"/>
          <w:sz w:val="24"/>
          <w:szCs w:val="24"/>
        </w:rPr>
        <w:t>(</w:t>
      </w:r>
      <w:r w:rsidR="000129F5">
        <w:rPr>
          <w:rFonts w:ascii="Arial" w:hAnsi="Arial" w:cs="Arial"/>
          <w:b/>
          <w:sz w:val="24"/>
          <w:szCs w:val="24"/>
        </w:rPr>
        <w:t>A</w:t>
      </w:r>
      <w:r w:rsidR="000129F5" w:rsidRPr="00042E20">
        <w:rPr>
          <w:rFonts w:ascii="Arial" w:hAnsi="Arial" w:cs="Arial"/>
          <w:sz w:val="24"/>
          <w:szCs w:val="24"/>
        </w:rPr>
        <w:t>; n=6; p&lt;0.05 Wilcoxon rank sum non-parametric)</w:t>
      </w:r>
      <w:r w:rsidR="000129F5" w:rsidRPr="00042E20">
        <w:rPr>
          <w:rFonts w:ascii="TimesNewRomanPSMT" w:hAnsi="TimesNewRomanPSMT" w:cs="TimesNewRomanPSMT"/>
          <w:sz w:val="24"/>
        </w:rPr>
        <w:t xml:space="preserve">. </w:t>
      </w:r>
      <w:r>
        <w:rPr>
          <w:rFonts w:ascii="TimesNewRomanPSMT" w:hAnsi="TimesNewRomanPSMT" w:cs="TimesNewRomanPSMT"/>
          <w:sz w:val="24"/>
        </w:rPr>
        <w:t>There is</w:t>
      </w:r>
      <w:r w:rsidR="000129F5" w:rsidRPr="00042E20">
        <w:rPr>
          <w:rFonts w:ascii="TimesNewRomanPSMT" w:hAnsi="TimesNewRomanPSMT" w:cs="TimesNewRomanPSMT"/>
          <w:sz w:val="24"/>
        </w:rPr>
        <w:t xml:space="preserve"> </w:t>
      </w:r>
      <w:r>
        <w:rPr>
          <w:rFonts w:ascii="TimesNewRomanPSMT" w:hAnsi="TimesNewRomanPSMT" w:cs="TimesNewRomanPSMT"/>
          <w:sz w:val="24"/>
        </w:rPr>
        <w:t xml:space="preserve">mean </w:t>
      </w:r>
      <w:r w:rsidR="000129F5" w:rsidRPr="00042E20">
        <w:rPr>
          <w:rFonts w:ascii="TimesNewRomanPSMT" w:hAnsi="TimesNewRomanPSMT" w:cs="TimesNewRomanPSMT"/>
          <w:sz w:val="24"/>
        </w:rPr>
        <w:t>12% increase (less negative) in the resting membrane potential</w:t>
      </w:r>
      <w:r w:rsidR="000129F5">
        <w:rPr>
          <w:rFonts w:ascii="Arial" w:hAnsi="Arial" w:cs="Arial"/>
          <w:sz w:val="24"/>
          <w:szCs w:val="24"/>
        </w:rPr>
        <w:t>.</w:t>
      </w:r>
      <w:r>
        <w:rPr>
          <w:rFonts w:ascii="Arial" w:hAnsi="Arial" w:cs="Arial"/>
          <w:sz w:val="24"/>
          <w:szCs w:val="24"/>
        </w:rPr>
        <w:t xml:space="preserve"> No effect for negative control or for </w:t>
      </w:r>
      <w:r w:rsidRPr="00042E20">
        <w:rPr>
          <w:rFonts w:ascii="Arial" w:hAnsi="Arial" w:cs="Arial"/>
          <w:bCs/>
          <w:kern w:val="36"/>
          <w:sz w:val="24"/>
          <w:szCs w:val="24"/>
        </w:rPr>
        <w:t>SYM 2081</w:t>
      </w:r>
      <w:r w:rsidRPr="00042E20">
        <w:rPr>
          <w:rFonts w:ascii="TimesNewRomanPSMT" w:hAnsi="TimesNewRomanPSMT" w:cs="TimesNewRomanPSMT"/>
          <w:sz w:val="24"/>
        </w:rPr>
        <w:t xml:space="preserve"> at </w:t>
      </w:r>
      <w:r>
        <w:rPr>
          <w:rFonts w:ascii="TimesNewRomanPSMT" w:hAnsi="TimesNewRomanPSMT" w:cs="TimesNewRomanPSMT"/>
          <w:sz w:val="24"/>
        </w:rPr>
        <w:t>0.</w:t>
      </w:r>
      <w:r w:rsidRPr="00042E20">
        <w:rPr>
          <w:rFonts w:ascii="TimesNewRomanPSMT" w:hAnsi="TimesNewRomanPSMT" w:cs="TimesNewRomanPSMT"/>
          <w:sz w:val="24"/>
        </w:rPr>
        <w:t>1mM</w:t>
      </w:r>
      <w:r>
        <w:rPr>
          <w:rFonts w:ascii="TimesNewRomanPSMT" w:hAnsi="TimesNewRomanPSMT" w:cs="TimesNewRomanPSMT"/>
          <w:sz w:val="24"/>
        </w:rPr>
        <w:t>.</w:t>
      </w:r>
      <w:r w:rsidRPr="00042E20">
        <w:rPr>
          <w:rFonts w:ascii="TimesNewRomanPSMT" w:hAnsi="TimesNewRomanPSMT" w:cs="TimesNewRomanPSMT"/>
          <w:sz w:val="24"/>
        </w:rPr>
        <w:t xml:space="preserve"> </w:t>
      </w:r>
      <w:r w:rsidR="000129F5" w:rsidRPr="00042E20">
        <w:rPr>
          <w:rFonts w:ascii="TimesNewRomanPSMT" w:hAnsi="TimesNewRomanPSMT" w:cs="TimesNewRomanPSMT"/>
          <w:sz w:val="24"/>
        </w:rPr>
        <w:t xml:space="preserve"> SYM2081 (1mM) also presented a 40% decrease in the EPSP amplitude which was more of a decrease than expected given and slight depolarization in the muscle</w:t>
      </w:r>
      <w:r w:rsidR="000129F5">
        <w:rPr>
          <w:rFonts w:ascii="TimesNewRomanPSMT" w:hAnsi="TimesNewRomanPSMT" w:cs="TimesNewRomanPSMT"/>
          <w:sz w:val="24"/>
        </w:rPr>
        <w:t xml:space="preserve"> </w:t>
      </w:r>
      <w:r w:rsidR="000129F5" w:rsidRPr="00042E20">
        <w:rPr>
          <w:rFonts w:ascii="Arial" w:hAnsi="Arial" w:cs="Arial"/>
          <w:sz w:val="24"/>
          <w:szCs w:val="24"/>
        </w:rPr>
        <w:t>(</w:t>
      </w:r>
      <w:r w:rsidR="000129F5">
        <w:rPr>
          <w:rFonts w:ascii="Arial" w:hAnsi="Arial" w:cs="Arial"/>
          <w:b/>
          <w:sz w:val="24"/>
          <w:szCs w:val="24"/>
        </w:rPr>
        <w:t>B</w:t>
      </w:r>
      <w:r w:rsidR="000129F5" w:rsidRPr="00042E20">
        <w:rPr>
          <w:rFonts w:ascii="Arial" w:hAnsi="Arial" w:cs="Arial"/>
          <w:sz w:val="24"/>
          <w:szCs w:val="24"/>
        </w:rPr>
        <w:t>; n=6; p&lt;0.05 Wilcoxon rank sum non-parametric)</w:t>
      </w:r>
      <w:r w:rsidR="000129F5" w:rsidRPr="00042E20">
        <w:rPr>
          <w:rFonts w:ascii="TimesNewRomanPSMT" w:hAnsi="TimesNewRomanPSMT" w:cs="TimesNewRomanPSMT"/>
          <w:sz w:val="24"/>
        </w:rPr>
        <w:t xml:space="preserve">. </w:t>
      </w:r>
      <w:r>
        <w:rPr>
          <w:rFonts w:ascii="TimesNewRomanPSMT" w:hAnsi="TimesNewRomanPSMT" w:cs="TimesNewRomanPSMT"/>
          <w:sz w:val="24"/>
        </w:rPr>
        <w:t>At 0.1mM</w:t>
      </w:r>
      <w:r w:rsidR="000129F5" w:rsidRPr="00042E20">
        <w:rPr>
          <w:rFonts w:ascii="TimesNewRomanPSMT" w:hAnsi="TimesNewRomanPSMT" w:cs="TimesNewRomanPSMT"/>
          <w:sz w:val="24"/>
        </w:rPr>
        <w:t xml:space="preserve"> SYM2081 </w:t>
      </w:r>
      <w:r w:rsidR="000D0A2C">
        <w:rPr>
          <w:rFonts w:ascii="TimesNewRomanPSMT" w:hAnsi="TimesNewRomanPSMT" w:cs="TimesNewRomanPSMT"/>
          <w:sz w:val="24"/>
        </w:rPr>
        <w:t>there is</w:t>
      </w:r>
      <w:r>
        <w:rPr>
          <w:rFonts w:ascii="TimesNewRomanPSMT" w:hAnsi="TimesNewRomanPSMT" w:cs="TimesNewRomanPSMT"/>
          <w:sz w:val="24"/>
        </w:rPr>
        <w:t xml:space="preserve"> no difference from the negative control</w:t>
      </w:r>
      <w:r w:rsidR="000129F5" w:rsidRPr="00042E20">
        <w:rPr>
          <w:rFonts w:ascii="TimesNewRomanPSMT" w:hAnsi="TimesNewRomanPSMT" w:cs="TimesNewRomanPSMT"/>
          <w:sz w:val="24"/>
        </w:rPr>
        <w:t xml:space="preserve"> </w:t>
      </w:r>
      <w:r>
        <w:rPr>
          <w:rFonts w:ascii="TimesNewRomanPSMT" w:hAnsi="TimesNewRomanPSMT" w:cs="TimesNewRomanPSMT"/>
          <w:sz w:val="24"/>
        </w:rPr>
        <w:t xml:space="preserve">on </w:t>
      </w:r>
      <w:r w:rsidR="000129F5" w:rsidRPr="00042E20">
        <w:rPr>
          <w:rFonts w:ascii="TimesNewRomanPSMT" w:hAnsi="TimesNewRomanPSMT" w:cs="TimesNewRomanPSMT"/>
          <w:sz w:val="24"/>
        </w:rPr>
        <w:t xml:space="preserve">the amplitude of the EPSPs. </w:t>
      </w:r>
    </w:p>
    <w:p w:rsidR="000129F5" w:rsidRPr="001D4841" w:rsidRDefault="000129F5" w:rsidP="008E4CBF">
      <w:pPr>
        <w:tabs>
          <w:tab w:val="left" w:pos="-1440"/>
        </w:tabs>
        <w:spacing w:after="0" w:line="480" w:lineRule="auto"/>
        <w:ind w:left="1440" w:hanging="1440"/>
        <w:jc w:val="both"/>
        <w:rPr>
          <w:rFonts w:ascii="Arial" w:hAnsi="Arial"/>
          <w:sz w:val="24"/>
        </w:rPr>
      </w:pPr>
    </w:p>
    <w:p w:rsidR="00196A20" w:rsidRPr="001D4841" w:rsidRDefault="00196A20" w:rsidP="008E4CBF">
      <w:pPr>
        <w:tabs>
          <w:tab w:val="left" w:pos="-1440"/>
        </w:tabs>
        <w:spacing w:after="0" w:line="480" w:lineRule="auto"/>
        <w:ind w:left="1440" w:hanging="1440"/>
        <w:jc w:val="both"/>
        <w:rPr>
          <w:rFonts w:ascii="Arial" w:hAnsi="Arial" w:cs="Arial"/>
          <w:sz w:val="24"/>
          <w:szCs w:val="24"/>
        </w:rPr>
      </w:pPr>
    </w:p>
    <w:p w:rsidR="004E1069" w:rsidRPr="001D4841" w:rsidRDefault="004E1069" w:rsidP="008E4CBF">
      <w:pPr>
        <w:spacing w:line="480" w:lineRule="auto"/>
        <w:rPr>
          <w:rFonts w:ascii="Arial" w:hAnsi="Arial" w:cs="Arial"/>
          <w:sz w:val="24"/>
          <w:szCs w:val="24"/>
        </w:rPr>
      </w:pPr>
      <w:r w:rsidRPr="001D4841">
        <w:rPr>
          <w:rFonts w:ascii="Arial" w:hAnsi="Arial" w:cs="Arial"/>
          <w:sz w:val="24"/>
          <w:szCs w:val="24"/>
        </w:rPr>
        <w:br w:type="page"/>
      </w:r>
    </w:p>
    <w:p w:rsidR="00E77B94" w:rsidRPr="001D4841" w:rsidRDefault="00DF5A71" w:rsidP="008E4CBF">
      <w:pPr>
        <w:tabs>
          <w:tab w:val="left" w:pos="-1440"/>
        </w:tabs>
        <w:spacing w:after="0" w:line="480" w:lineRule="auto"/>
        <w:ind w:left="1440" w:hanging="1440"/>
        <w:jc w:val="both"/>
        <w:rPr>
          <w:rFonts w:ascii="Arial" w:hAnsi="Arial" w:cs="Arial"/>
          <w:sz w:val="24"/>
          <w:szCs w:val="24"/>
        </w:rPr>
      </w:pPr>
      <w:r w:rsidRPr="001D4841">
        <w:rPr>
          <w:rFonts w:ascii="Arial" w:hAnsi="Arial" w:cs="Arial"/>
          <w:noProof/>
          <w:sz w:val="24"/>
          <w:szCs w:val="24"/>
          <w:lang w:eastAsia="en-US"/>
        </w:rPr>
        <w:lastRenderedPageBreak/>
        <w:drawing>
          <wp:inline distT="0" distB="0" distL="0" distR="0">
            <wp:extent cx="4712510" cy="3497730"/>
            <wp:effectExtent l="19050" t="0" r="0" b="0"/>
            <wp:docPr id="3" name="Picture 2" descr="fig6-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lowres.tif"/>
                    <pic:cNvPicPr/>
                  </pic:nvPicPr>
                  <pic:blipFill>
                    <a:blip r:embed="rId12" cstate="print"/>
                    <a:stretch>
                      <a:fillRect/>
                    </a:stretch>
                  </pic:blipFill>
                  <pic:spPr>
                    <a:xfrm>
                      <a:off x="0" y="0"/>
                      <a:ext cx="4713059" cy="3498137"/>
                    </a:xfrm>
                    <a:prstGeom prst="rect">
                      <a:avLst/>
                    </a:prstGeom>
                  </pic:spPr>
                </pic:pic>
              </a:graphicData>
            </a:graphic>
          </wp:inline>
        </w:drawing>
      </w:r>
    </w:p>
    <w:p w:rsidR="00CF19BF" w:rsidRPr="001D4841" w:rsidRDefault="00196A20" w:rsidP="008E4CBF">
      <w:pPr>
        <w:tabs>
          <w:tab w:val="left" w:pos="-1440"/>
        </w:tabs>
        <w:spacing w:after="0" w:line="480" w:lineRule="auto"/>
        <w:ind w:left="1440" w:hanging="1440"/>
        <w:jc w:val="both"/>
        <w:rPr>
          <w:rFonts w:ascii="Arial" w:hAnsi="Arial"/>
          <w:sz w:val="24"/>
        </w:rPr>
      </w:pPr>
      <w:r w:rsidRPr="001D4841">
        <w:rPr>
          <w:rFonts w:ascii="Arial" w:eastAsia="Times New Roman" w:hAnsi="Arial" w:cs="Times New Roman"/>
          <w:b/>
          <w:bCs/>
          <w:sz w:val="24"/>
        </w:rPr>
        <w:t xml:space="preserve">Figure </w:t>
      </w:r>
      <w:r w:rsidR="003679A5">
        <w:rPr>
          <w:rFonts w:ascii="Arial" w:eastAsia="Times New Roman" w:hAnsi="Arial" w:cs="Times New Roman"/>
          <w:b/>
          <w:bCs/>
          <w:sz w:val="24"/>
        </w:rPr>
        <w:t>7</w:t>
      </w:r>
      <w:r w:rsidRPr="001D4841">
        <w:rPr>
          <w:rFonts w:ascii="Arial" w:eastAsia="Times New Roman" w:hAnsi="Arial" w:cs="Times New Roman"/>
          <w:b/>
          <w:bCs/>
          <w:sz w:val="24"/>
        </w:rPr>
        <w:t>:</w:t>
      </w:r>
      <w:r w:rsidRPr="001D4841">
        <w:rPr>
          <w:rFonts w:ascii="Arial" w:eastAsia="Times New Roman" w:hAnsi="Arial" w:cs="Times New Roman"/>
          <w:sz w:val="24"/>
        </w:rPr>
        <w:t xml:space="preserve"> </w:t>
      </w:r>
      <w:r w:rsidRPr="001D4841">
        <w:rPr>
          <w:rFonts w:ascii="Arial" w:eastAsia="Times New Roman" w:hAnsi="Arial" w:cs="Times New Roman"/>
          <w:sz w:val="24"/>
        </w:rPr>
        <w:tab/>
      </w:r>
      <w:r w:rsidRPr="001D4841">
        <w:rPr>
          <w:rFonts w:ascii="Arial" w:hAnsi="Arial"/>
          <w:sz w:val="24"/>
        </w:rPr>
        <w:t xml:space="preserve">Effects of </w:t>
      </w:r>
      <w:r w:rsidR="00EB6D86" w:rsidRPr="001D4841">
        <w:rPr>
          <w:rFonts w:ascii="Arial" w:hAnsi="Arial"/>
          <w:sz w:val="24"/>
        </w:rPr>
        <w:t xml:space="preserve">kainate </w:t>
      </w:r>
      <w:r w:rsidRPr="001D4841">
        <w:rPr>
          <w:rFonts w:ascii="Arial" w:hAnsi="Arial"/>
          <w:sz w:val="24"/>
        </w:rPr>
        <w:t xml:space="preserve">on </w:t>
      </w:r>
      <w:r w:rsidR="00EB6D86" w:rsidRPr="001D4841">
        <w:rPr>
          <w:rFonts w:ascii="Arial" w:hAnsi="Arial"/>
          <w:sz w:val="24"/>
        </w:rPr>
        <w:t>short-term depression (i.e., negative facilitation) with varied [Ca</w:t>
      </w:r>
      <w:r w:rsidR="00EB6D86" w:rsidRPr="001D4841">
        <w:rPr>
          <w:rFonts w:ascii="Arial" w:hAnsi="Arial"/>
          <w:sz w:val="24"/>
          <w:vertAlign w:val="superscript"/>
        </w:rPr>
        <w:t>2+</w:t>
      </w:r>
      <w:r w:rsidR="00EB6D86" w:rsidRPr="001D4841">
        <w:rPr>
          <w:rFonts w:ascii="Arial" w:hAnsi="Arial"/>
          <w:sz w:val="24"/>
        </w:rPr>
        <w:t>]</w:t>
      </w:r>
      <w:r w:rsidR="00EB6D86" w:rsidRPr="001D4841">
        <w:rPr>
          <w:rFonts w:ascii="Arial" w:hAnsi="Arial"/>
          <w:sz w:val="24"/>
          <w:vertAlign w:val="subscript"/>
        </w:rPr>
        <w:t>o</w:t>
      </w:r>
      <w:r w:rsidR="00EB6D86" w:rsidRPr="001D4841">
        <w:rPr>
          <w:rFonts w:ascii="Arial" w:hAnsi="Arial"/>
          <w:sz w:val="24"/>
        </w:rPr>
        <w:t xml:space="preserve">. </w:t>
      </w:r>
      <w:r w:rsidR="00CF19BF" w:rsidRPr="001D4841">
        <w:rPr>
          <w:rFonts w:ascii="Arial" w:hAnsi="Arial"/>
          <w:sz w:val="24"/>
        </w:rPr>
        <w:t>(</w:t>
      </w:r>
      <w:r w:rsidR="00CF19BF" w:rsidRPr="001D4841">
        <w:rPr>
          <w:rFonts w:ascii="Arial" w:hAnsi="Arial"/>
          <w:b/>
          <w:sz w:val="24"/>
        </w:rPr>
        <w:t>A</w:t>
      </w:r>
      <w:r w:rsidR="00CF19BF" w:rsidRPr="001D4841">
        <w:rPr>
          <w:rFonts w:ascii="Arial" w:hAnsi="Arial"/>
          <w:sz w:val="24"/>
        </w:rPr>
        <w:t>) A four pulse stimulus train delivered at 20Hz results in an initial large EPSP followed by depressed responses. The procedure for measuring EPSP amplitudes is indicated. Facilitation index (FI) is then calculated from these measures. (</w:t>
      </w:r>
      <w:r w:rsidR="00CF19BF" w:rsidRPr="001D4841">
        <w:rPr>
          <w:rFonts w:ascii="Arial" w:hAnsi="Arial"/>
          <w:b/>
          <w:sz w:val="24"/>
        </w:rPr>
        <w:t>B</w:t>
      </w:r>
      <w:r w:rsidR="00CF19BF" w:rsidRPr="001D4841">
        <w:rPr>
          <w:rFonts w:ascii="Arial" w:hAnsi="Arial"/>
          <w:sz w:val="24"/>
        </w:rPr>
        <w:t xml:space="preserve">) A typical response for the effect of </w:t>
      </w:r>
      <w:r w:rsidR="003B20B0" w:rsidRPr="001D4841">
        <w:rPr>
          <w:rFonts w:ascii="Arial" w:hAnsi="Arial"/>
          <w:sz w:val="24"/>
        </w:rPr>
        <w:t>kainate (</w:t>
      </w:r>
      <w:r w:rsidR="00CF19BF" w:rsidRPr="001D4841">
        <w:rPr>
          <w:rFonts w:ascii="Arial" w:hAnsi="Arial"/>
          <w:sz w:val="24"/>
        </w:rPr>
        <w:t>KA</w:t>
      </w:r>
      <w:r w:rsidR="003B20B0" w:rsidRPr="001D4841">
        <w:rPr>
          <w:rFonts w:ascii="Arial" w:hAnsi="Arial"/>
          <w:sz w:val="24"/>
        </w:rPr>
        <w:t xml:space="preserve">; </w:t>
      </w:r>
      <w:r w:rsidR="00CF19BF" w:rsidRPr="001D4841">
        <w:rPr>
          <w:rFonts w:ascii="Arial" w:hAnsi="Arial"/>
          <w:sz w:val="24"/>
        </w:rPr>
        <w:t>1 mM) on the pulse train in the presence of 0</w:t>
      </w:r>
      <w:r w:rsidR="003B20B0" w:rsidRPr="001D4841">
        <w:rPr>
          <w:rFonts w:ascii="Arial" w:hAnsi="Arial"/>
          <w:sz w:val="24"/>
        </w:rPr>
        <w:t>.5</w:t>
      </w:r>
      <w:r w:rsidR="00CF19BF" w:rsidRPr="001D4841">
        <w:rPr>
          <w:rFonts w:ascii="Arial" w:hAnsi="Arial"/>
          <w:sz w:val="24"/>
        </w:rPr>
        <w:t xml:space="preserve"> mM </w:t>
      </w:r>
      <w:r w:rsidR="003B20B0" w:rsidRPr="001D4841">
        <w:rPr>
          <w:rFonts w:ascii="Arial" w:hAnsi="Arial"/>
          <w:sz w:val="24"/>
        </w:rPr>
        <w:t>[Ca</w:t>
      </w:r>
      <w:r w:rsidR="003B20B0" w:rsidRPr="001D4841">
        <w:rPr>
          <w:rFonts w:ascii="Arial" w:hAnsi="Arial"/>
          <w:sz w:val="24"/>
          <w:vertAlign w:val="superscript"/>
        </w:rPr>
        <w:t>2+</w:t>
      </w:r>
      <w:r w:rsidR="003B20B0" w:rsidRPr="001D4841">
        <w:rPr>
          <w:rFonts w:ascii="Arial" w:hAnsi="Arial"/>
          <w:sz w:val="24"/>
        </w:rPr>
        <w:t>]</w:t>
      </w:r>
      <w:r w:rsidR="003B20B0" w:rsidRPr="001D4841">
        <w:rPr>
          <w:rFonts w:ascii="Arial" w:hAnsi="Arial"/>
          <w:sz w:val="24"/>
          <w:vertAlign w:val="subscript"/>
        </w:rPr>
        <w:t>o</w:t>
      </w:r>
      <w:r w:rsidR="00CF19BF" w:rsidRPr="001D4841">
        <w:rPr>
          <w:rFonts w:ascii="Arial" w:hAnsi="Arial"/>
          <w:sz w:val="24"/>
        </w:rPr>
        <w:t>. (</w:t>
      </w:r>
      <w:r w:rsidR="00CF19BF" w:rsidRPr="001D4841">
        <w:rPr>
          <w:rFonts w:ascii="Arial" w:hAnsi="Arial"/>
          <w:b/>
          <w:sz w:val="24"/>
        </w:rPr>
        <w:t>C</w:t>
      </w:r>
      <w:r w:rsidR="00CF19BF" w:rsidRPr="001D4841">
        <w:rPr>
          <w:rFonts w:ascii="Arial" w:hAnsi="Arial"/>
          <w:sz w:val="24"/>
        </w:rPr>
        <w:t xml:space="preserve">) A typical response for the effect of KA (1 mM) on the pulse train in the presence of </w:t>
      </w:r>
      <w:r w:rsidR="003B20B0" w:rsidRPr="001D4841">
        <w:rPr>
          <w:rFonts w:ascii="Arial" w:hAnsi="Arial"/>
          <w:sz w:val="24"/>
        </w:rPr>
        <w:t>1</w:t>
      </w:r>
      <w:r w:rsidR="00CF19BF" w:rsidRPr="001D4841">
        <w:rPr>
          <w:rFonts w:ascii="Arial" w:hAnsi="Arial"/>
          <w:sz w:val="24"/>
        </w:rPr>
        <w:t xml:space="preserve"> mM [Ca</w:t>
      </w:r>
      <w:r w:rsidR="00CF19BF" w:rsidRPr="001D4841">
        <w:rPr>
          <w:rFonts w:ascii="Arial" w:hAnsi="Arial"/>
          <w:sz w:val="24"/>
          <w:vertAlign w:val="superscript"/>
        </w:rPr>
        <w:t>2+</w:t>
      </w:r>
      <w:r w:rsidR="00CF19BF" w:rsidRPr="001D4841">
        <w:rPr>
          <w:rFonts w:ascii="Arial" w:hAnsi="Arial"/>
          <w:sz w:val="24"/>
        </w:rPr>
        <w:t>]</w:t>
      </w:r>
      <w:r w:rsidR="00CF19BF" w:rsidRPr="001D4841">
        <w:rPr>
          <w:rFonts w:ascii="Arial" w:hAnsi="Arial"/>
          <w:sz w:val="24"/>
          <w:vertAlign w:val="subscript"/>
        </w:rPr>
        <w:t>o</w:t>
      </w:r>
      <w:r w:rsidR="00CF19BF" w:rsidRPr="001D4841">
        <w:rPr>
          <w:rFonts w:ascii="Arial" w:hAnsi="Arial"/>
          <w:sz w:val="24"/>
        </w:rPr>
        <w:t>. (</w:t>
      </w:r>
      <w:r w:rsidR="009E35EB" w:rsidRPr="001D4841">
        <w:rPr>
          <w:rFonts w:ascii="Arial" w:hAnsi="Arial"/>
          <w:b/>
          <w:sz w:val="24"/>
        </w:rPr>
        <w:t>D</w:t>
      </w:r>
      <w:r w:rsidR="00CF19BF" w:rsidRPr="001D4841">
        <w:rPr>
          <w:rFonts w:ascii="Arial" w:hAnsi="Arial"/>
          <w:sz w:val="24"/>
        </w:rPr>
        <w:t xml:space="preserve">) The </w:t>
      </w:r>
      <w:r w:rsidR="009E35EB" w:rsidRPr="001D4841">
        <w:rPr>
          <w:rFonts w:ascii="Arial" w:hAnsi="Arial"/>
          <w:sz w:val="24"/>
        </w:rPr>
        <w:t xml:space="preserve">difference in </w:t>
      </w:r>
      <w:r w:rsidR="00CF19BF" w:rsidRPr="001D4841">
        <w:rPr>
          <w:rFonts w:ascii="Arial" w:hAnsi="Arial"/>
          <w:sz w:val="24"/>
        </w:rPr>
        <w:t xml:space="preserve">facilitation index (FI) is shown for both 1mM and </w:t>
      </w:r>
      <w:r w:rsidR="003B20B0" w:rsidRPr="001D4841">
        <w:rPr>
          <w:rFonts w:ascii="Arial" w:hAnsi="Arial"/>
          <w:sz w:val="24"/>
        </w:rPr>
        <w:t>0.</w:t>
      </w:r>
      <w:r w:rsidR="00CF19BF" w:rsidRPr="001D4841">
        <w:rPr>
          <w:rFonts w:ascii="Arial" w:hAnsi="Arial"/>
          <w:sz w:val="24"/>
        </w:rPr>
        <w:t>5</w:t>
      </w:r>
      <w:r w:rsidR="003B20B0" w:rsidRPr="001D4841">
        <w:rPr>
          <w:rFonts w:ascii="Arial" w:hAnsi="Arial"/>
          <w:sz w:val="24"/>
        </w:rPr>
        <w:t>m</w:t>
      </w:r>
      <w:r w:rsidR="00CF19BF" w:rsidRPr="001D4841">
        <w:rPr>
          <w:rFonts w:ascii="Arial" w:hAnsi="Arial"/>
          <w:sz w:val="24"/>
        </w:rPr>
        <w:t xml:space="preserve">M </w:t>
      </w:r>
      <w:r w:rsidR="003B20B0" w:rsidRPr="001D4841">
        <w:rPr>
          <w:rFonts w:ascii="Arial" w:hAnsi="Arial"/>
          <w:sz w:val="24"/>
        </w:rPr>
        <w:t>KA</w:t>
      </w:r>
      <w:r w:rsidR="00CF19BF" w:rsidRPr="001D4841">
        <w:rPr>
          <w:rFonts w:ascii="Arial" w:hAnsi="Arial"/>
          <w:sz w:val="24"/>
        </w:rPr>
        <w:t xml:space="preserve"> with either 1mM or </w:t>
      </w:r>
      <w:r w:rsidR="003B20B0" w:rsidRPr="001D4841">
        <w:rPr>
          <w:rFonts w:ascii="Arial" w:hAnsi="Arial"/>
          <w:sz w:val="24"/>
        </w:rPr>
        <w:t>0.5m</w:t>
      </w:r>
      <w:r w:rsidR="00CF19BF" w:rsidRPr="001D4841">
        <w:rPr>
          <w:rFonts w:ascii="Arial" w:hAnsi="Arial"/>
          <w:sz w:val="24"/>
        </w:rPr>
        <w:t xml:space="preserve">M </w:t>
      </w:r>
      <w:r w:rsidR="003B20B0" w:rsidRPr="001D4841">
        <w:rPr>
          <w:rFonts w:ascii="Arial" w:hAnsi="Arial"/>
          <w:sz w:val="24"/>
        </w:rPr>
        <w:t>[Ca</w:t>
      </w:r>
      <w:r w:rsidR="003B20B0" w:rsidRPr="001D4841">
        <w:rPr>
          <w:rFonts w:ascii="Arial" w:hAnsi="Arial"/>
          <w:sz w:val="24"/>
          <w:vertAlign w:val="superscript"/>
        </w:rPr>
        <w:t>2+</w:t>
      </w:r>
      <w:r w:rsidR="003B20B0" w:rsidRPr="001D4841">
        <w:rPr>
          <w:rFonts w:ascii="Arial" w:hAnsi="Arial"/>
          <w:sz w:val="24"/>
        </w:rPr>
        <w:t>]</w:t>
      </w:r>
      <w:r w:rsidR="003B20B0" w:rsidRPr="001D4841">
        <w:rPr>
          <w:rFonts w:ascii="Arial" w:hAnsi="Arial"/>
          <w:sz w:val="24"/>
          <w:vertAlign w:val="subscript"/>
        </w:rPr>
        <w:t>o</w:t>
      </w:r>
      <w:r w:rsidR="00CF19BF" w:rsidRPr="001D4841">
        <w:rPr>
          <w:rFonts w:ascii="Arial" w:hAnsi="Arial"/>
          <w:sz w:val="24"/>
        </w:rPr>
        <w:t>.</w:t>
      </w:r>
      <w:r w:rsidR="009E35EB" w:rsidRPr="001D4841">
        <w:rPr>
          <w:rFonts w:ascii="Arial" w:hAnsi="Arial"/>
          <w:sz w:val="24"/>
        </w:rPr>
        <w:t xml:space="preserve"> </w:t>
      </w:r>
      <w:r w:rsidR="00AE3E41" w:rsidRPr="001D4841">
        <w:rPr>
          <w:rFonts w:ascii="Arial" w:hAnsi="Arial"/>
          <w:sz w:val="24"/>
        </w:rPr>
        <w:t xml:space="preserve">The </w:t>
      </w:r>
      <w:r w:rsidR="009E35EB" w:rsidRPr="001D4841">
        <w:rPr>
          <w:rFonts w:ascii="Arial" w:hAnsi="Arial"/>
          <w:sz w:val="24"/>
        </w:rPr>
        <w:t>difference in the median</w:t>
      </w:r>
      <w:r w:rsidR="00AE3E41" w:rsidRPr="001D4841">
        <w:rPr>
          <w:rFonts w:ascii="Arial" w:hAnsi="Arial"/>
          <w:sz w:val="24"/>
        </w:rPr>
        <w:t xml:space="preserve"> values are obtained from </w:t>
      </w:r>
      <w:r w:rsidR="009E35EB" w:rsidRPr="001D4841">
        <w:rPr>
          <w:rFonts w:ascii="Arial" w:hAnsi="Arial"/>
          <w:sz w:val="24"/>
        </w:rPr>
        <w:t xml:space="preserve">the </w:t>
      </w:r>
      <w:r w:rsidR="00AE3E41" w:rsidRPr="001D4841">
        <w:rPr>
          <w:rFonts w:ascii="Arial" w:hAnsi="Arial"/>
          <w:sz w:val="24"/>
        </w:rPr>
        <w:t xml:space="preserve">difference </w:t>
      </w:r>
      <w:r w:rsidR="009E35EB" w:rsidRPr="001D4841">
        <w:rPr>
          <w:rFonts w:ascii="Arial" w:hAnsi="Arial"/>
          <w:sz w:val="24"/>
        </w:rPr>
        <w:t>in</w:t>
      </w:r>
      <w:r w:rsidR="00AE3E41" w:rsidRPr="001D4841">
        <w:rPr>
          <w:rFonts w:ascii="Arial" w:hAnsi="Arial"/>
          <w:sz w:val="24"/>
        </w:rPr>
        <w:t xml:space="preserve"> FI saline to exposure of KA within each preparation.  </w:t>
      </w:r>
      <w:r w:rsidR="009E35EB" w:rsidRPr="001D4841">
        <w:rPr>
          <w:rFonts w:ascii="Arial" w:hAnsi="Arial"/>
          <w:sz w:val="24"/>
        </w:rPr>
        <w:t>(n</w:t>
      </w:r>
      <w:r w:rsidR="00CF19BF" w:rsidRPr="001D4841">
        <w:rPr>
          <w:rFonts w:ascii="Arial" w:hAnsi="Arial"/>
          <w:sz w:val="24"/>
        </w:rPr>
        <w:t>=</w:t>
      </w:r>
      <w:r w:rsidR="003B20B0" w:rsidRPr="001D4841">
        <w:rPr>
          <w:rFonts w:ascii="Arial" w:hAnsi="Arial"/>
          <w:sz w:val="24"/>
        </w:rPr>
        <w:t>5</w:t>
      </w:r>
      <w:r w:rsidR="00CF19BF" w:rsidRPr="001D4841">
        <w:rPr>
          <w:rFonts w:ascii="Arial" w:hAnsi="Arial"/>
          <w:sz w:val="24"/>
        </w:rPr>
        <w:t xml:space="preserve"> for each paradigm</w:t>
      </w:r>
      <w:r w:rsidR="00DF5A71" w:rsidRPr="001D4841">
        <w:rPr>
          <w:rFonts w:ascii="Arial" w:hAnsi="Arial"/>
          <w:sz w:val="24"/>
        </w:rPr>
        <w:t>; * p&lt;0.05 Wilcoxon Rank Sum Test for the effect of KA as compared to saline</w:t>
      </w:r>
      <w:r w:rsidR="00CF19BF" w:rsidRPr="001D4841">
        <w:rPr>
          <w:rFonts w:ascii="Arial" w:hAnsi="Arial"/>
          <w:sz w:val="24"/>
        </w:rPr>
        <w:t>)</w:t>
      </w:r>
      <w:r w:rsidR="003B20B0" w:rsidRPr="001D4841">
        <w:rPr>
          <w:rFonts w:ascii="Arial" w:hAnsi="Arial"/>
          <w:sz w:val="24"/>
        </w:rPr>
        <w:t>.</w:t>
      </w:r>
    </w:p>
    <w:p w:rsidR="00CD03A0" w:rsidRPr="001D4841" w:rsidRDefault="00512351" w:rsidP="008E4CBF">
      <w:pPr>
        <w:tabs>
          <w:tab w:val="left" w:pos="-1440"/>
        </w:tabs>
        <w:spacing w:after="0" w:line="480" w:lineRule="auto"/>
        <w:ind w:left="1440" w:hanging="1440"/>
        <w:jc w:val="both"/>
        <w:rPr>
          <w:rFonts w:ascii="Arial" w:hAnsi="Arial"/>
          <w:sz w:val="24"/>
        </w:rPr>
      </w:pPr>
      <w:r>
        <w:rPr>
          <w:rFonts w:ascii="Arial" w:hAnsi="Arial"/>
          <w:noProof/>
          <w:sz w:val="24"/>
          <w:lang w:eastAsia="en-US"/>
        </w:rPr>
        <w:lastRenderedPageBreak/>
        <w:drawing>
          <wp:inline distT="0" distB="0" distL="0" distR="0">
            <wp:extent cx="5874106" cy="3337560"/>
            <wp:effectExtent l="19050" t="0" r="0" b="0"/>
            <wp:docPr id="6" name="Picture 5" descr="FIGURE8-CBPsubmitL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CBPsubmitLR.tif"/>
                    <pic:cNvPicPr/>
                  </pic:nvPicPr>
                  <pic:blipFill>
                    <a:blip r:embed="rId13" cstate="print"/>
                    <a:stretch>
                      <a:fillRect/>
                    </a:stretch>
                  </pic:blipFill>
                  <pic:spPr>
                    <a:xfrm>
                      <a:off x="0" y="0"/>
                      <a:ext cx="5874106" cy="3337560"/>
                    </a:xfrm>
                    <a:prstGeom prst="rect">
                      <a:avLst/>
                    </a:prstGeom>
                  </pic:spPr>
                </pic:pic>
              </a:graphicData>
            </a:graphic>
          </wp:inline>
        </w:drawing>
      </w:r>
    </w:p>
    <w:p w:rsidR="00CD03A0" w:rsidRPr="001D4841" w:rsidRDefault="00CD03A0" w:rsidP="008E4CBF">
      <w:pPr>
        <w:tabs>
          <w:tab w:val="left" w:pos="-1440"/>
        </w:tabs>
        <w:spacing w:after="0" w:line="480" w:lineRule="auto"/>
        <w:ind w:left="1440" w:hanging="1440"/>
        <w:jc w:val="both"/>
        <w:rPr>
          <w:rFonts w:ascii="Arial" w:hAnsi="Arial"/>
          <w:sz w:val="24"/>
        </w:rPr>
      </w:pPr>
      <w:r w:rsidRPr="001D4841">
        <w:rPr>
          <w:rFonts w:ascii="Arial" w:hAnsi="Arial"/>
          <w:b/>
          <w:sz w:val="24"/>
        </w:rPr>
        <w:t xml:space="preserve">Figure </w:t>
      </w:r>
      <w:r w:rsidR="003679A5">
        <w:rPr>
          <w:rFonts w:ascii="Arial" w:hAnsi="Arial"/>
          <w:b/>
          <w:sz w:val="24"/>
        </w:rPr>
        <w:t>8</w:t>
      </w:r>
      <w:r w:rsidRPr="001D4841">
        <w:rPr>
          <w:rFonts w:ascii="Arial" w:hAnsi="Arial"/>
          <w:b/>
          <w:sz w:val="24"/>
        </w:rPr>
        <w:t>:</w:t>
      </w:r>
      <w:r w:rsidRPr="001D4841">
        <w:rPr>
          <w:rFonts w:ascii="Arial" w:hAnsi="Arial"/>
          <w:sz w:val="24"/>
        </w:rPr>
        <w:t xml:space="preserve"> </w:t>
      </w:r>
      <w:r w:rsidRPr="001D4841">
        <w:rPr>
          <w:rFonts w:ascii="Arial" w:hAnsi="Arial"/>
          <w:sz w:val="24"/>
        </w:rPr>
        <w:tab/>
      </w:r>
      <w:r w:rsidR="00BE7713">
        <w:rPr>
          <w:rFonts w:ascii="Arial" w:hAnsi="Arial"/>
          <w:sz w:val="24"/>
        </w:rPr>
        <w:t>(</w:t>
      </w:r>
      <w:r w:rsidR="00BE7713" w:rsidRPr="00BE7713">
        <w:rPr>
          <w:rFonts w:ascii="Arial" w:hAnsi="Arial"/>
          <w:b/>
          <w:sz w:val="24"/>
        </w:rPr>
        <w:t>A</w:t>
      </w:r>
      <w:r w:rsidR="00BE7713">
        <w:rPr>
          <w:rFonts w:ascii="Arial" w:hAnsi="Arial"/>
          <w:sz w:val="24"/>
        </w:rPr>
        <w:t xml:space="preserve">) </w:t>
      </w:r>
      <w:r w:rsidRPr="001D4841">
        <w:rPr>
          <w:rFonts w:ascii="Arial" w:hAnsi="Arial"/>
          <w:sz w:val="24"/>
        </w:rPr>
        <w:t>Effects of kainate (KA) and calcium on FI. Box and whisker plots for FI in various conditions are shown as before and after exposure to kainate, for each of the five preparations in the four experimental conditions. The plots show the median,10</w:t>
      </w:r>
      <w:r w:rsidRPr="001D4841">
        <w:rPr>
          <w:rFonts w:ascii="Arial" w:hAnsi="Arial"/>
          <w:sz w:val="24"/>
          <w:vertAlign w:val="superscript"/>
        </w:rPr>
        <w:t>th</w:t>
      </w:r>
      <w:r w:rsidRPr="001D4841">
        <w:rPr>
          <w:rFonts w:ascii="Arial" w:hAnsi="Arial"/>
          <w:sz w:val="24"/>
        </w:rPr>
        <w:t>, 25</w:t>
      </w:r>
      <w:r w:rsidRPr="001D4841">
        <w:rPr>
          <w:rFonts w:ascii="Arial" w:hAnsi="Arial"/>
          <w:sz w:val="24"/>
          <w:vertAlign w:val="superscript"/>
        </w:rPr>
        <w:t>th</w:t>
      </w:r>
      <w:r w:rsidRPr="001D4841">
        <w:rPr>
          <w:rFonts w:ascii="Arial" w:hAnsi="Arial"/>
          <w:sz w:val="24"/>
        </w:rPr>
        <w:t>, 75</w:t>
      </w:r>
      <w:r w:rsidRPr="001D4841">
        <w:rPr>
          <w:rFonts w:ascii="Arial" w:hAnsi="Arial"/>
          <w:sz w:val="24"/>
          <w:vertAlign w:val="superscript"/>
        </w:rPr>
        <w:t>th</w:t>
      </w:r>
      <w:r w:rsidRPr="001D4841">
        <w:rPr>
          <w:rFonts w:ascii="Arial" w:hAnsi="Arial"/>
          <w:sz w:val="24"/>
        </w:rPr>
        <w:t>, and 90</w:t>
      </w:r>
      <w:r w:rsidRPr="001D4841">
        <w:rPr>
          <w:rFonts w:ascii="Arial" w:hAnsi="Arial"/>
          <w:sz w:val="24"/>
          <w:vertAlign w:val="superscript"/>
        </w:rPr>
        <w:t>th</w:t>
      </w:r>
      <w:r w:rsidRPr="001D4841">
        <w:rPr>
          <w:rFonts w:ascii="Arial" w:hAnsi="Arial"/>
          <w:sz w:val="24"/>
        </w:rPr>
        <w:t xml:space="preserve"> percentiles. </w:t>
      </w:r>
      <w:r w:rsidR="00BE7713">
        <w:rPr>
          <w:rFonts w:ascii="Arial" w:hAnsi="Arial"/>
          <w:sz w:val="24"/>
        </w:rPr>
        <w:t>(</w:t>
      </w:r>
      <w:r w:rsidR="00BE7713">
        <w:rPr>
          <w:rFonts w:ascii="Arial" w:hAnsi="Arial"/>
          <w:b/>
          <w:sz w:val="24"/>
        </w:rPr>
        <w:t>B</w:t>
      </w:r>
      <w:r w:rsidR="00BE7713">
        <w:rPr>
          <w:rFonts w:ascii="Arial" w:hAnsi="Arial"/>
          <w:sz w:val="24"/>
        </w:rPr>
        <w:t xml:space="preserve">) </w:t>
      </w:r>
      <w:r w:rsidR="00BE7713" w:rsidRPr="001D4841">
        <w:rPr>
          <w:rFonts w:ascii="Arial" w:hAnsi="Arial"/>
          <w:sz w:val="24"/>
        </w:rPr>
        <w:t>The standard deviation (SD) for each preparation before and after exposure to kainate (1mM) with 1mM [Ca</w:t>
      </w:r>
      <w:r w:rsidR="00BE7713" w:rsidRPr="001D4841">
        <w:rPr>
          <w:rFonts w:ascii="Arial" w:hAnsi="Arial"/>
          <w:sz w:val="24"/>
          <w:vertAlign w:val="superscript"/>
        </w:rPr>
        <w:t>2+</w:t>
      </w:r>
      <w:r w:rsidR="00BE7713" w:rsidRPr="001D4841">
        <w:rPr>
          <w:rFonts w:ascii="Arial" w:hAnsi="Arial"/>
          <w:sz w:val="24"/>
        </w:rPr>
        <w:t>]</w:t>
      </w:r>
      <w:r w:rsidR="00BE7713" w:rsidRPr="001D4841">
        <w:rPr>
          <w:rFonts w:ascii="Arial" w:hAnsi="Arial"/>
          <w:sz w:val="24"/>
          <w:vertAlign w:val="subscript"/>
        </w:rPr>
        <w:t xml:space="preserve">o </w:t>
      </w:r>
      <w:r w:rsidR="00BE7713" w:rsidRPr="001D4841">
        <w:rPr>
          <w:rFonts w:ascii="Arial" w:hAnsi="Arial"/>
          <w:sz w:val="24"/>
        </w:rPr>
        <w:t>presented a consistent trend in increasing in the variability among the data sets while exposed to kainate (KA) as compared the saline (S) baseline (p&lt;0.05, Wilcoxon Rank Sum Test</w:t>
      </w:r>
      <w:r w:rsidR="00BE7713">
        <w:rPr>
          <w:rFonts w:ascii="Arial" w:hAnsi="Arial"/>
          <w:sz w:val="24"/>
        </w:rPr>
        <w:t xml:space="preserve">; also p&lt;0.5 Student’s </w:t>
      </w:r>
      <w:r w:rsidR="00BE7713" w:rsidRPr="00A65A2E">
        <w:rPr>
          <w:rFonts w:ascii="Arial" w:hAnsi="Arial"/>
          <w:i/>
          <w:sz w:val="24"/>
        </w:rPr>
        <w:t>t</w:t>
      </w:r>
      <w:r w:rsidR="00BE7713">
        <w:rPr>
          <w:rFonts w:ascii="Arial" w:hAnsi="Arial"/>
          <w:sz w:val="24"/>
        </w:rPr>
        <w:t>-test</w:t>
      </w:r>
      <w:r w:rsidR="00BE7713" w:rsidRPr="001D4841">
        <w:rPr>
          <w:rFonts w:ascii="Arial" w:hAnsi="Arial"/>
          <w:sz w:val="24"/>
        </w:rPr>
        <w:t>).</w:t>
      </w:r>
    </w:p>
    <w:p w:rsidR="004649C2" w:rsidRDefault="004649C2">
      <w:pPr>
        <w:rPr>
          <w:rFonts w:ascii="Arial" w:hAnsi="Arial"/>
          <w:sz w:val="24"/>
        </w:rPr>
      </w:pPr>
      <w:r>
        <w:rPr>
          <w:rFonts w:ascii="Arial" w:hAnsi="Arial"/>
          <w:sz w:val="24"/>
        </w:rPr>
        <w:br w:type="page"/>
      </w:r>
    </w:p>
    <w:p w:rsidR="00CD03A0" w:rsidRPr="001D4841" w:rsidRDefault="00CD03A0" w:rsidP="008E4CBF">
      <w:pPr>
        <w:tabs>
          <w:tab w:val="left" w:pos="-1440"/>
        </w:tabs>
        <w:spacing w:after="0" w:line="480" w:lineRule="auto"/>
        <w:ind w:left="1440" w:hanging="1440"/>
        <w:jc w:val="both"/>
        <w:rPr>
          <w:rFonts w:ascii="Arial" w:hAnsi="Arial"/>
          <w:sz w:val="24"/>
        </w:rPr>
      </w:pPr>
    </w:p>
    <w:p w:rsidR="00EB6D86" w:rsidRPr="001D4841" w:rsidRDefault="005B2045" w:rsidP="008E4CBF">
      <w:pPr>
        <w:tabs>
          <w:tab w:val="left" w:pos="-1440"/>
        </w:tabs>
        <w:spacing w:after="0" w:line="480" w:lineRule="auto"/>
        <w:ind w:left="1440" w:hanging="1440"/>
        <w:jc w:val="both"/>
        <w:rPr>
          <w:rFonts w:ascii="Arial" w:hAnsi="Arial"/>
          <w:sz w:val="24"/>
        </w:rPr>
      </w:pPr>
      <w:r w:rsidRPr="001D4841">
        <w:rPr>
          <w:rFonts w:ascii="Arial" w:hAnsi="Arial"/>
          <w:noProof/>
          <w:sz w:val="24"/>
          <w:lang w:eastAsia="en-US"/>
        </w:rPr>
        <w:drawing>
          <wp:inline distT="0" distB="0" distL="0" distR="0">
            <wp:extent cx="3829381" cy="4608022"/>
            <wp:effectExtent l="19050" t="0" r="0" b="0"/>
            <wp:docPr id="9" name="Picture 8" descr="fig7-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lowres.tif"/>
                    <pic:cNvPicPr/>
                  </pic:nvPicPr>
                  <pic:blipFill>
                    <a:blip r:embed="rId14" cstate="print"/>
                    <a:stretch>
                      <a:fillRect/>
                    </a:stretch>
                  </pic:blipFill>
                  <pic:spPr>
                    <a:xfrm>
                      <a:off x="0" y="0"/>
                      <a:ext cx="3832019" cy="4611196"/>
                    </a:xfrm>
                    <a:prstGeom prst="rect">
                      <a:avLst/>
                    </a:prstGeom>
                  </pic:spPr>
                </pic:pic>
              </a:graphicData>
            </a:graphic>
          </wp:inline>
        </w:drawing>
      </w:r>
    </w:p>
    <w:p w:rsidR="00C038FF" w:rsidRPr="001D4841" w:rsidRDefault="00C038FF" w:rsidP="008E4CBF">
      <w:pPr>
        <w:tabs>
          <w:tab w:val="left" w:pos="-1440"/>
        </w:tabs>
        <w:spacing w:after="0" w:line="480" w:lineRule="auto"/>
        <w:ind w:left="1440" w:hanging="1440"/>
        <w:jc w:val="both"/>
        <w:rPr>
          <w:rFonts w:ascii="Arial" w:hAnsi="Arial"/>
          <w:sz w:val="24"/>
        </w:rPr>
      </w:pPr>
    </w:p>
    <w:p w:rsidR="00196A20" w:rsidRPr="001D4841" w:rsidRDefault="00241545" w:rsidP="008E4CBF">
      <w:pPr>
        <w:tabs>
          <w:tab w:val="left" w:pos="-1440"/>
        </w:tabs>
        <w:spacing w:after="0" w:line="480" w:lineRule="auto"/>
        <w:ind w:left="1440" w:hanging="1440"/>
        <w:jc w:val="both"/>
        <w:rPr>
          <w:rFonts w:ascii="Arial" w:eastAsia="Times New Roman" w:hAnsi="Arial" w:cs="Arial"/>
          <w:sz w:val="24"/>
          <w:szCs w:val="16"/>
        </w:rPr>
      </w:pPr>
      <w:r w:rsidRPr="001D4841">
        <w:rPr>
          <w:rFonts w:ascii="Arial" w:eastAsia="Times New Roman" w:hAnsi="Arial" w:cs="Times New Roman"/>
          <w:b/>
          <w:bCs/>
          <w:sz w:val="24"/>
        </w:rPr>
        <w:t xml:space="preserve">Figure </w:t>
      </w:r>
      <w:r w:rsidR="00BE7713">
        <w:rPr>
          <w:rFonts w:ascii="Arial" w:eastAsia="Times New Roman" w:hAnsi="Arial" w:cs="Times New Roman"/>
          <w:b/>
          <w:bCs/>
          <w:sz w:val="24"/>
        </w:rPr>
        <w:t>9</w:t>
      </w:r>
      <w:r w:rsidR="00EB6D86" w:rsidRPr="001D4841">
        <w:rPr>
          <w:rFonts w:ascii="Arial" w:eastAsia="Times New Roman" w:hAnsi="Arial" w:cs="Times New Roman"/>
          <w:b/>
          <w:bCs/>
          <w:sz w:val="24"/>
        </w:rPr>
        <w:t>:</w:t>
      </w:r>
      <w:r w:rsidR="00EB6D86" w:rsidRPr="001D4841">
        <w:rPr>
          <w:rFonts w:ascii="Arial" w:hAnsi="Arial" w:cs="Arial"/>
          <w:sz w:val="24"/>
          <w:szCs w:val="24"/>
        </w:rPr>
        <w:t xml:space="preserve"> </w:t>
      </w:r>
      <w:r w:rsidR="00EB6D86" w:rsidRPr="001D4841">
        <w:rPr>
          <w:rFonts w:ascii="Arial" w:hAnsi="Arial" w:cs="Arial"/>
          <w:sz w:val="24"/>
          <w:szCs w:val="24"/>
        </w:rPr>
        <w:tab/>
      </w:r>
      <w:r w:rsidR="00A955DE" w:rsidRPr="001D4841">
        <w:rPr>
          <w:rFonts w:ascii="Arial" w:hAnsi="Arial" w:cs="Arial"/>
          <w:sz w:val="24"/>
          <w:szCs w:val="24"/>
        </w:rPr>
        <w:t>Action of t-ACPD on evoked EPSPs and resting membrane potential. (</w:t>
      </w:r>
      <w:r w:rsidR="00A955DE" w:rsidRPr="001D4841">
        <w:rPr>
          <w:rFonts w:ascii="Arial" w:hAnsi="Arial" w:cs="Arial"/>
          <w:b/>
          <w:sz w:val="24"/>
          <w:szCs w:val="24"/>
        </w:rPr>
        <w:t>A</w:t>
      </w:r>
      <w:r w:rsidR="00A955DE" w:rsidRPr="001D4841">
        <w:rPr>
          <w:rFonts w:ascii="Arial" w:hAnsi="Arial" w:cs="Arial"/>
          <w:sz w:val="24"/>
          <w:szCs w:val="24"/>
        </w:rPr>
        <w:t>) Evoked EPSPs in saline an</w:t>
      </w:r>
      <w:r w:rsidR="005B2045" w:rsidRPr="001D4841">
        <w:rPr>
          <w:rFonts w:ascii="Arial" w:hAnsi="Arial" w:cs="Arial"/>
          <w:sz w:val="24"/>
          <w:szCs w:val="24"/>
        </w:rPr>
        <w:t xml:space="preserve">d during exposures to t-ACPD  (50 </w:t>
      </w:r>
      <w:r w:rsidR="001F2387" w:rsidRPr="001D4841">
        <w:rPr>
          <w:rFonts w:ascii="Arial" w:eastAsia="Times New Roman" w:hAnsi="Arial" w:cs="Arial"/>
          <w:sz w:val="24"/>
          <w:szCs w:val="16"/>
        </w:rPr>
        <w:t>μM). (</w:t>
      </w:r>
      <w:r w:rsidR="001F2387" w:rsidRPr="001D4841">
        <w:rPr>
          <w:rFonts w:ascii="Arial" w:eastAsia="Times New Roman" w:hAnsi="Arial" w:cs="Arial"/>
          <w:b/>
          <w:sz w:val="24"/>
          <w:szCs w:val="16"/>
        </w:rPr>
        <w:t>B</w:t>
      </w:r>
      <w:r w:rsidR="001F2387" w:rsidRPr="001D4841">
        <w:rPr>
          <w:rFonts w:ascii="Arial" w:eastAsia="Times New Roman" w:hAnsi="Arial" w:cs="Arial"/>
          <w:sz w:val="24"/>
          <w:szCs w:val="16"/>
        </w:rPr>
        <w:t xml:space="preserve">) The mean percent change in the amplitude of the evoked EPSPs with exposure to </w:t>
      </w:r>
      <w:r w:rsidR="001F2387" w:rsidRPr="001D4841">
        <w:rPr>
          <w:rFonts w:ascii="Arial" w:hAnsi="Arial" w:cs="Arial"/>
          <w:sz w:val="24"/>
          <w:szCs w:val="24"/>
        </w:rPr>
        <w:t>t-ACPD</w:t>
      </w:r>
      <w:r w:rsidR="001F2387" w:rsidRPr="001D4841">
        <w:rPr>
          <w:rFonts w:ascii="Arial" w:eastAsia="Times New Roman" w:hAnsi="Arial" w:cs="Arial"/>
          <w:sz w:val="24"/>
          <w:szCs w:val="16"/>
        </w:rPr>
        <w:t>. (</w:t>
      </w:r>
      <w:r w:rsidR="001F2387" w:rsidRPr="001D4841">
        <w:rPr>
          <w:rFonts w:ascii="Arial" w:eastAsia="Times New Roman" w:hAnsi="Arial" w:cs="Arial"/>
          <w:b/>
          <w:sz w:val="24"/>
          <w:szCs w:val="16"/>
        </w:rPr>
        <w:t>C</w:t>
      </w:r>
      <w:r w:rsidR="001F2387" w:rsidRPr="001D4841">
        <w:rPr>
          <w:rFonts w:ascii="Arial" w:eastAsia="Times New Roman" w:hAnsi="Arial" w:cs="Arial"/>
          <w:sz w:val="24"/>
          <w:szCs w:val="16"/>
        </w:rPr>
        <w:t xml:space="preserve">) The mean percent change in the resting membrane potential with exposure to </w:t>
      </w:r>
      <w:r w:rsidR="001F2387" w:rsidRPr="001D4841">
        <w:rPr>
          <w:rFonts w:ascii="Arial" w:hAnsi="Arial" w:cs="Arial"/>
          <w:sz w:val="24"/>
          <w:szCs w:val="24"/>
        </w:rPr>
        <w:t>t-ACPD</w:t>
      </w:r>
      <w:r w:rsidR="001F2387" w:rsidRPr="001D4841">
        <w:rPr>
          <w:rFonts w:ascii="Arial" w:eastAsia="Times New Roman" w:hAnsi="Arial" w:cs="Arial"/>
          <w:sz w:val="24"/>
          <w:szCs w:val="16"/>
        </w:rPr>
        <w:t>.</w:t>
      </w:r>
    </w:p>
    <w:p w:rsidR="00F32D92" w:rsidRPr="001D4841" w:rsidRDefault="00F32D92" w:rsidP="008E4CBF">
      <w:pPr>
        <w:tabs>
          <w:tab w:val="left" w:pos="-1440"/>
        </w:tabs>
        <w:spacing w:after="0" w:line="480" w:lineRule="auto"/>
        <w:ind w:left="1440" w:hanging="1440"/>
        <w:jc w:val="both"/>
        <w:rPr>
          <w:rFonts w:ascii="Arial" w:eastAsia="Times New Roman" w:hAnsi="Arial" w:cs="Arial"/>
          <w:sz w:val="24"/>
          <w:szCs w:val="16"/>
        </w:rPr>
      </w:pPr>
    </w:p>
    <w:p w:rsidR="005624F8" w:rsidRPr="001D4841" w:rsidRDefault="005624F8" w:rsidP="008E4CBF">
      <w:pPr>
        <w:tabs>
          <w:tab w:val="left" w:pos="-1440"/>
        </w:tabs>
        <w:spacing w:after="0" w:line="480" w:lineRule="auto"/>
        <w:ind w:left="1440" w:hanging="1440"/>
        <w:jc w:val="both"/>
        <w:rPr>
          <w:rFonts w:ascii="Arial" w:eastAsia="Times New Roman" w:hAnsi="Arial" w:cs="Times New Roman"/>
          <w:b/>
          <w:bCs/>
          <w:sz w:val="24"/>
        </w:rPr>
      </w:pPr>
    </w:p>
    <w:p w:rsidR="005624F8" w:rsidRPr="001D4841" w:rsidRDefault="005624F8" w:rsidP="008E4CBF">
      <w:pPr>
        <w:tabs>
          <w:tab w:val="left" w:pos="-1440"/>
        </w:tabs>
        <w:spacing w:after="0" w:line="480" w:lineRule="auto"/>
        <w:ind w:left="1440" w:hanging="1440"/>
        <w:jc w:val="both"/>
        <w:rPr>
          <w:rFonts w:ascii="Arial" w:eastAsia="Times New Roman" w:hAnsi="Arial" w:cs="Times New Roman"/>
          <w:b/>
          <w:bCs/>
          <w:sz w:val="24"/>
        </w:rPr>
      </w:pPr>
    </w:p>
    <w:p w:rsidR="00431305" w:rsidRPr="001D4841" w:rsidRDefault="00431305" w:rsidP="008E4CBF">
      <w:pPr>
        <w:tabs>
          <w:tab w:val="left" w:pos="-1440"/>
        </w:tabs>
        <w:spacing w:after="0" w:line="480" w:lineRule="auto"/>
        <w:ind w:left="1440" w:hanging="1440"/>
        <w:jc w:val="both"/>
        <w:rPr>
          <w:rFonts w:ascii="Arial" w:eastAsia="Times New Roman" w:hAnsi="Arial" w:cs="Times New Roman"/>
          <w:b/>
          <w:bCs/>
          <w:sz w:val="24"/>
        </w:rPr>
      </w:pPr>
    </w:p>
    <w:p w:rsidR="00431305" w:rsidRPr="001D4841" w:rsidRDefault="00431305" w:rsidP="008E4CBF">
      <w:pPr>
        <w:tabs>
          <w:tab w:val="left" w:pos="-1440"/>
        </w:tabs>
        <w:spacing w:after="0" w:line="480" w:lineRule="auto"/>
        <w:ind w:left="1440" w:hanging="1440"/>
        <w:jc w:val="both"/>
        <w:rPr>
          <w:rFonts w:ascii="Arial" w:eastAsia="Times New Roman" w:hAnsi="Arial" w:cs="Times New Roman"/>
          <w:b/>
          <w:bCs/>
          <w:sz w:val="24"/>
        </w:rPr>
      </w:pPr>
      <w:r w:rsidRPr="001D4841">
        <w:rPr>
          <w:rFonts w:ascii="Arial" w:eastAsia="Times New Roman" w:hAnsi="Arial" w:cs="Times New Roman"/>
          <w:b/>
          <w:bCs/>
          <w:noProof/>
          <w:sz w:val="24"/>
          <w:lang w:eastAsia="en-US"/>
        </w:rPr>
        <w:drawing>
          <wp:inline distT="0" distB="0" distL="0" distR="0">
            <wp:extent cx="6333497" cy="7824083"/>
            <wp:effectExtent l="19050" t="0" r="0" b="0"/>
            <wp:docPr id="5" name="Picture 4" descr="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tif"/>
                    <pic:cNvPicPr/>
                  </pic:nvPicPr>
                  <pic:blipFill>
                    <a:blip r:embed="rId15" cstate="print"/>
                    <a:stretch>
                      <a:fillRect/>
                    </a:stretch>
                  </pic:blipFill>
                  <pic:spPr>
                    <a:xfrm>
                      <a:off x="0" y="0"/>
                      <a:ext cx="6333591" cy="7824199"/>
                    </a:xfrm>
                    <a:prstGeom prst="rect">
                      <a:avLst/>
                    </a:prstGeom>
                  </pic:spPr>
                </pic:pic>
              </a:graphicData>
            </a:graphic>
          </wp:inline>
        </w:drawing>
      </w:r>
    </w:p>
    <w:p w:rsidR="005624F8" w:rsidRDefault="00F32D92" w:rsidP="008D0260">
      <w:pPr>
        <w:spacing w:line="480" w:lineRule="auto"/>
        <w:rPr>
          <w:rFonts w:ascii="Arial" w:hAnsi="Arial" w:cs="Arial"/>
          <w:sz w:val="24"/>
          <w:szCs w:val="24"/>
        </w:rPr>
      </w:pPr>
      <w:r w:rsidRPr="001D4841">
        <w:rPr>
          <w:rFonts w:ascii="Arial" w:eastAsia="Times New Roman" w:hAnsi="Arial" w:cs="Times New Roman"/>
          <w:b/>
          <w:bCs/>
          <w:sz w:val="24"/>
        </w:rPr>
        <w:lastRenderedPageBreak/>
        <w:t xml:space="preserve">Figure </w:t>
      </w:r>
      <w:r w:rsidR="00241545" w:rsidRPr="001D4841">
        <w:rPr>
          <w:rFonts w:ascii="Arial" w:eastAsia="Times New Roman" w:hAnsi="Arial" w:cs="Times New Roman"/>
          <w:b/>
          <w:bCs/>
          <w:sz w:val="24"/>
        </w:rPr>
        <w:t>1</w:t>
      </w:r>
      <w:r w:rsidR="00BE7713">
        <w:rPr>
          <w:rFonts w:ascii="Arial" w:eastAsia="Times New Roman" w:hAnsi="Arial" w:cs="Times New Roman"/>
          <w:b/>
          <w:bCs/>
          <w:sz w:val="24"/>
        </w:rPr>
        <w:t>0</w:t>
      </w:r>
      <w:r w:rsidRPr="001D4841">
        <w:rPr>
          <w:rFonts w:ascii="Arial" w:eastAsia="Times New Roman" w:hAnsi="Arial" w:cs="Times New Roman"/>
          <w:b/>
          <w:bCs/>
          <w:sz w:val="24"/>
        </w:rPr>
        <w:t>:</w:t>
      </w:r>
      <w:r w:rsidRPr="001D4841">
        <w:rPr>
          <w:rFonts w:ascii="Arial" w:hAnsi="Arial" w:cs="Arial"/>
          <w:sz w:val="24"/>
          <w:szCs w:val="24"/>
        </w:rPr>
        <w:t xml:space="preserve"> </w:t>
      </w:r>
      <w:r w:rsidRPr="001D4841">
        <w:rPr>
          <w:rFonts w:ascii="Arial" w:hAnsi="Arial" w:cs="Arial"/>
          <w:sz w:val="24"/>
          <w:szCs w:val="24"/>
        </w:rPr>
        <w:tab/>
        <w:t xml:space="preserve">Sequence comparison of five postsynaptic receptor subunits identified from </w:t>
      </w:r>
      <w:r w:rsidRPr="00534E64">
        <w:rPr>
          <w:rFonts w:ascii="Arial" w:hAnsi="Arial" w:cs="Arial"/>
          <w:i/>
          <w:sz w:val="24"/>
          <w:szCs w:val="24"/>
        </w:rPr>
        <w:t>Drosophila</w:t>
      </w:r>
      <w:r w:rsidRPr="001D4841">
        <w:rPr>
          <w:rFonts w:ascii="Arial" w:hAnsi="Arial" w:cs="Arial"/>
          <w:sz w:val="24"/>
          <w:szCs w:val="24"/>
        </w:rPr>
        <w:t xml:space="preserve"> muscle mRNA to the five known human kainate receptor subunits. Each two sequences were compared by using a blastP alignment. The top bar is a comparison for the total protein sequence. The bottom bar is a comparison of the putative extracellular domains among the proteins. The gray area </w:t>
      </w:r>
      <w:r w:rsidR="008D0260">
        <w:rPr>
          <w:rFonts w:ascii="Arial" w:hAnsi="Arial" w:cs="Arial"/>
          <w:sz w:val="24"/>
          <w:szCs w:val="24"/>
        </w:rPr>
        <w:t xml:space="preserve">(box) </w:t>
      </w:r>
      <w:r w:rsidRPr="001D4841">
        <w:rPr>
          <w:rFonts w:ascii="Arial" w:hAnsi="Arial" w:cs="Arial"/>
          <w:sz w:val="24"/>
          <w:szCs w:val="24"/>
        </w:rPr>
        <w:t>is the percentage of identical sequence and the white are</w:t>
      </w:r>
      <w:r w:rsidR="008D0260">
        <w:rPr>
          <w:rFonts w:ascii="Arial" w:hAnsi="Arial" w:cs="Arial"/>
          <w:sz w:val="24"/>
          <w:szCs w:val="24"/>
        </w:rPr>
        <w:t>a (clear box)</w:t>
      </w:r>
      <w:r w:rsidRPr="001D4841">
        <w:rPr>
          <w:rFonts w:ascii="Arial" w:hAnsi="Arial" w:cs="Arial"/>
          <w:sz w:val="24"/>
          <w:szCs w:val="24"/>
        </w:rPr>
        <w:t xml:space="preserve"> is the percent in similarity based on the blastP (NCBI) algorithm. The five human receptor subunits used are: (A) GluR5; (B) GluR6; (C) GluR7; (D) KA1; and (E) KA2.</w:t>
      </w:r>
    </w:p>
    <w:p w:rsidR="005C2543" w:rsidRPr="001D4841" w:rsidRDefault="005C2543" w:rsidP="008E4CBF">
      <w:pPr>
        <w:tabs>
          <w:tab w:val="left" w:pos="-1440"/>
        </w:tabs>
        <w:spacing w:after="0" w:line="480" w:lineRule="auto"/>
        <w:ind w:left="1440" w:hanging="1440"/>
        <w:jc w:val="both"/>
        <w:rPr>
          <w:rFonts w:ascii="Arial" w:hAnsi="Arial" w:cs="Arial"/>
          <w:sz w:val="24"/>
          <w:szCs w:val="24"/>
        </w:rPr>
      </w:pPr>
    </w:p>
    <w:p w:rsidR="00F32D92" w:rsidRPr="001D4841" w:rsidRDefault="005624F8" w:rsidP="008E4CBF">
      <w:pPr>
        <w:spacing w:line="480" w:lineRule="auto"/>
        <w:rPr>
          <w:rFonts w:ascii="Arial" w:hAnsi="Arial" w:cs="Arial"/>
          <w:sz w:val="24"/>
          <w:szCs w:val="24"/>
        </w:rPr>
      </w:pPr>
      <w:r w:rsidRPr="001D4841">
        <w:rPr>
          <w:rFonts w:ascii="Arial" w:hAnsi="Arial" w:cs="Arial"/>
          <w:noProof/>
          <w:sz w:val="24"/>
          <w:szCs w:val="24"/>
          <w:lang w:eastAsia="en-US"/>
        </w:rPr>
        <w:lastRenderedPageBreak/>
        <w:drawing>
          <wp:inline distT="0" distB="0" distL="0" distR="0">
            <wp:extent cx="5486400" cy="5041392"/>
            <wp:effectExtent l="19050" t="0" r="0" b="0"/>
            <wp:docPr id="4" name="Picture 2" descr="fig9-low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lowres.tif"/>
                    <pic:cNvPicPr/>
                  </pic:nvPicPr>
                  <pic:blipFill>
                    <a:blip r:embed="rId16" cstate="print"/>
                    <a:stretch>
                      <a:fillRect/>
                    </a:stretch>
                  </pic:blipFill>
                  <pic:spPr>
                    <a:xfrm>
                      <a:off x="0" y="0"/>
                      <a:ext cx="5486400" cy="5041392"/>
                    </a:xfrm>
                    <a:prstGeom prst="rect">
                      <a:avLst/>
                    </a:prstGeom>
                  </pic:spPr>
                </pic:pic>
              </a:graphicData>
            </a:graphic>
          </wp:inline>
        </w:drawing>
      </w:r>
    </w:p>
    <w:p w:rsidR="00AE1C89" w:rsidRPr="001D4841" w:rsidRDefault="00F32D92" w:rsidP="003679A5">
      <w:pPr>
        <w:tabs>
          <w:tab w:val="left" w:pos="-1440"/>
        </w:tabs>
        <w:spacing w:after="0" w:line="480" w:lineRule="auto"/>
        <w:ind w:left="1440" w:hanging="1440"/>
        <w:jc w:val="both"/>
        <w:rPr>
          <w:rFonts w:ascii="Arial" w:hAnsi="Arial" w:cs="Arial"/>
          <w:sz w:val="24"/>
          <w:szCs w:val="24"/>
        </w:rPr>
      </w:pPr>
      <w:r w:rsidRPr="001D4841">
        <w:rPr>
          <w:rFonts w:ascii="Arial" w:eastAsia="Times New Roman" w:hAnsi="Arial" w:cs="Times New Roman"/>
          <w:b/>
          <w:bCs/>
          <w:sz w:val="24"/>
        </w:rPr>
        <w:t xml:space="preserve">Figure </w:t>
      </w:r>
      <w:r w:rsidR="00241545" w:rsidRPr="001D4841">
        <w:rPr>
          <w:rFonts w:ascii="Arial" w:eastAsia="Times New Roman" w:hAnsi="Arial" w:cs="Times New Roman"/>
          <w:b/>
          <w:bCs/>
          <w:sz w:val="24"/>
        </w:rPr>
        <w:t>1</w:t>
      </w:r>
      <w:r w:rsidR="00BE7713">
        <w:rPr>
          <w:rFonts w:ascii="Arial" w:eastAsia="Times New Roman" w:hAnsi="Arial" w:cs="Times New Roman"/>
          <w:b/>
          <w:bCs/>
          <w:sz w:val="24"/>
        </w:rPr>
        <w:t>1</w:t>
      </w:r>
      <w:r w:rsidRPr="001D4841">
        <w:rPr>
          <w:rFonts w:ascii="Arial" w:eastAsia="Times New Roman" w:hAnsi="Arial" w:cs="Times New Roman"/>
          <w:b/>
          <w:bCs/>
          <w:sz w:val="24"/>
        </w:rPr>
        <w:t>:</w:t>
      </w:r>
      <w:r w:rsidRPr="001D4841">
        <w:rPr>
          <w:rFonts w:ascii="Arial" w:hAnsi="Arial" w:cs="Arial"/>
          <w:sz w:val="24"/>
          <w:szCs w:val="24"/>
        </w:rPr>
        <w:t xml:space="preserve"> </w:t>
      </w:r>
      <w:r w:rsidRPr="001D4841">
        <w:rPr>
          <w:rFonts w:ascii="Arial" w:hAnsi="Arial" w:cs="Arial"/>
          <w:sz w:val="24"/>
          <w:szCs w:val="24"/>
        </w:rPr>
        <w:tab/>
        <w:t xml:space="preserve">Phylogeny tree comparing all known putative 36 ionotropic </w:t>
      </w:r>
      <w:r w:rsidR="00182BED" w:rsidRPr="001D4841">
        <w:rPr>
          <w:rFonts w:ascii="Arial" w:hAnsi="Arial" w:cs="Arial"/>
          <w:sz w:val="24"/>
          <w:szCs w:val="24"/>
        </w:rPr>
        <w:t>glutamate</w:t>
      </w:r>
      <w:r w:rsidRPr="001D4841">
        <w:rPr>
          <w:rFonts w:ascii="Arial" w:hAnsi="Arial" w:cs="Arial"/>
          <w:sz w:val="24"/>
          <w:szCs w:val="24"/>
        </w:rPr>
        <w:t xml:space="preserve"> receptor subunits in the </w:t>
      </w:r>
      <w:r w:rsidRPr="00534E64">
        <w:rPr>
          <w:rFonts w:ascii="Arial" w:hAnsi="Arial" w:cs="Arial"/>
          <w:i/>
          <w:sz w:val="24"/>
          <w:szCs w:val="24"/>
        </w:rPr>
        <w:t>Drosophila</w:t>
      </w:r>
      <w:r w:rsidRPr="001D4841">
        <w:rPr>
          <w:rFonts w:ascii="Arial" w:hAnsi="Arial" w:cs="Arial"/>
          <w:sz w:val="24"/>
          <w:szCs w:val="24"/>
        </w:rPr>
        <w:t xml:space="preserve"> genome with human glutamate receptors (kainate receptor subunits GluR5, GluR6 and KA2; AMPA receptor subunit GluR1; NMDA receptor subunits NR-1 and NR-2). The </w:t>
      </w:r>
      <w:r w:rsidR="00182BED" w:rsidRPr="001D4841">
        <w:rPr>
          <w:rFonts w:ascii="Arial" w:hAnsi="Arial" w:cs="Arial"/>
          <w:sz w:val="24"/>
          <w:szCs w:val="24"/>
        </w:rPr>
        <w:t>comparison</w:t>
      </w:r>
      <w:r w:rsidRPr="001D4841">
        <w:rPr>
          <w:rFonts w:ascii="Arial" w:hAnsi="Arial" w:cs="Arial"/>
          <w:sz w:val="24"/>
          <w:szCs w:val="24"/>
        </w:rPr>
        <w:t xml:space="preserve"> was </w:t>
      </w:r>
      <w:r w:rsidR="00182BED" w:rsidRPr="001D4841">
        <w:rPr>
          <w:rFonts w:ascii="Arial" w:hAnsi="Arial" w:cs="Arial"/>
          <w:sz w:val="24"/>
          <w:szCs w:val="24"/>
        </w:rPr>
        <w:t>performed</w:t>
      </w:r>
      <w:r w:rsidRPr="001D4841">
        <w:rPr>
          <w:rFonts w:ascii="Arial" w:hAnsi="Arial" w:cs="Arial"/>
          <w:sz w:val="24"/>
          <w:szCs w:val="24"/>
        </w:rPr>
        <w:t xml:space="preserve"> by ClustalW2 (EMBL-EBI).</w:t>
      </w:r>
      <w:r w:rsidR="002637DC" w:rsidRPr="002637DC">
        <w:rPr>
          <w:rFonts w:ascii="Arial" w:eastAsia="Times New Roman" w:hAnsi="Arial" w:cs="Arial"/>
          <w:sz w:val="24"/>
          <w:szCs w:val="24"/>
        </w:rPr>
        <w:t xml:space="preserve"> </w:t>
      </w:r>
      <w:r w:rsidR="002637DC">
        <w:rPr>
          <w:rFonts w:ascii="Arial" w:eastAsia="Times New Roman" w:hAnsi="Arial" w:cs="Arial"/>
          <w:sz w:val="24"/>
          <w:szCs w:val="24"/>
        </w:rPr>
        <w:t>T</w:t>
      </w:r>
      <w:r w:rsidR="002637DC" w:rsidRPr="00782D7B">
        <w:rPr>
          <w:rFonts w:ascii="Arial" w:eastAsia="Times New Roman" w:hAnsi="Arial" w:cs="Arial"/>
          <w:sz w:val="24"/>
          <w:szCs w:val="24"/>
        </w:rPr>
        <w:t xml:space="preserve">he five subunits of postsynaptic receptors in </w:t>
      </w:r>
      <w:r w:rsidR="002637DC" w:rsidRPr="00782D7B">
        <w:rPr>
          <w:rFonts w:ascii="Arial" w:eastAsia="Times New Roman" w:hAnsi="Arial" w:cs="Arial"/>
          <w:i/>
          <w:sz w:val="24"/>
          <w:szCs w:val="24"/>
        </w:rPr>
        <w:t>Drosophila</w:t>
      </w:r>
      <w:r w:rsidR="002637DC" w:rsidRPr="00782D7B">
        <w:rPr>
          <w:rFonts w:ascii="Arial" w:eastAsia="Times New Roman" w:hAnsi="Arial" w:cs="Arial"/>
          <w:sz w:val="24"/>
          <w:szCs w:val="24"/>
        </w:rPr>
        <w:t xml:space="preserve"> </w:t>
      </w:r>
      <w:r w:rsidR="002637DC">
        <w:rPr>
          <w:rFonts w:ascii="Arial" w:eastAsia="Times New Roman" w:hAnsi="Arial" w:cs="Arial"/>
          <w:sz w:val="24"/>
          <w:szCs w:val="24"/>
        </w:rPr>
        <w:t>larval muscle are shown in the boxes.</w:t>
      </w:r>
    </w:p>
    <w:sectPr w:rsidR="00AE1C89" w:rsidRPr="001D4841" w:rsidSect="00220A9F">
      <w:footerReference w:type="default" r:id="rId1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63D3" w:rsidRDefault="007263D3" w:rsidP="003A425A">
      <w:pPr>
        <w:spacing w:after="0" w:line="240" w:lineRule="auto"/>
      </w:pPr>
      <w:r>
        <w:separator/>
      </w:r>
    </w:p>
  </w:endnote>
  <w:endnote w:type="continuationSeparator" w:id="0">
    <w:p w:rsidR="007263D3" w:rsidRDefault="007263D3" w:rsidP="003A42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imesNewRomanPSMT">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184501"/>
      <w:docPartObj>
        <w:docPartGallery w:val="Page Numbers (Bottom of Page)"/>
        <w:docPartUnique/>
      </w:docPartObj>
    </w:sdtPr>
    <w:sdtContent>
      <w:p w:rsidR="008F0F65" w:rsidRDefault="00E9280C">
        <w:pPr>
          <w:pStyle w:val="Footer"/>
          <w:jc w:val="right"/>
        </w:pPr>
        <w:fldSimple w:instr=" PAGE   \* MERGEFORMAT ">
          <w:r w:rsidR="00CE19ED">
            <w:rPr>
              <w:noProof/>
            </w:rPr>
            <w:t>50</w:t>
          </w:r>
        </w:fldSimple>
      </w:p>
    </w:sdtContent>
  </w:sdt>
  <w:p w:rsidR="008F0F65" w:rsidRDefault="008F0F6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63D3" w:rsidRDefault="007263D3" w:rsidP="003A425A">
      <w:pPr>
        <w:spacing w:after="0" w:line="240" w:lineRule="auto"/>
      </w:pPr>
      <w:r>
        <w:separator/>
      </w:r>
    </w:p>
  </w:footnote>
  <w:footnote w:type="continuationSeparator" w:id="0">
    <w:p w:rsidR="007263D3" w:rsidRDefault="007263D3" w:rsidP="003A425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5"/>
  <w:defaultTabStop w:val="720"/>
  <w:characterSpacingControl w:val="doNotCompress"/>
  <w:footnotePr>
    <w:footnote w:id="-1"/>
    <w:footnote w:id="0"/>
  </w:footnotePr>
  <w:endnotePr>
    <w:endnote w:id="-1"/>
    <w:endnote w:id="0"/>
  </w:endnotePr>
  <w:compat>
    <w:useFELayout/>
  </w:compat>
  <w:rsids>
    <w:rsidRoot w:val="007A5C2A"/>
    <w:rsid w:val="00006B90"/>
    <w:rsid w:val="00006E94"/>
    <w:rsid w:val="000101C0"/>
    <w:rsid w:val="000129F5"/>
    <w:rsid w:val="0002513A"/>
    <w:rsid w:val="00042E20"/>
    <w:rsid w:val="000441AB"/>
    <w:rsid w:val="000473F0"/>
    <w:rsid w:val="00057825"/>
    <w:rsid w:val="00067BBB"/>
    <w:rsid w:val="00073283"/>
    <w:rsid w:val="00073586"/>
    <w:rsid w:val="0008319B"/>
    <w:rsid w:val="00084F95"/>
    <w:rsid w:val="00085AE3"/>
    <w:rsid w:val="000868F7"/>
    <w:rsid w:val="000A17FA"/>
    <w:rsid w:val="000A29D9"/>
    <w:rsid w:val="000A36A8"/>
    <w:rsid w:val="000B77E2"/>
    <w:rsid w:val="000B7D07"/>
    <w:rsid w:val="000D0A2C"/>
    <w:rsid w:val="000D4FBB"/>
    <w:rsid w:val="000E4464"/>
    <w:rsid w:val="000E71AE"/>
    <w:rsid w:val="00124EDE"/>
    <w:rsid w:val="0013207F"/>
    <w:rsid w:val="0013273C"/>
    <w:rsid w:val="00136891"/>
    <w:rsid w:val="00143E36"/>
    <w:rsid w:val="00146203"/>
    <w:rsid w:val="00166CDF"/>
    <w:rsid w:val="00167DD0"/>
    <w:rsid w:val="001761A6"/>
    <w:rsid w:val="001814DA"/>
    <w:rsid w:val="00182BED"/>
    <w:rsid w:val="0019388A"/>
    <w:rsid w:val="00196A20"/>
    <w:rsid w:val="001A406E"/>
    <w:rsid w:val="001C65F0"/>
    <w:rsid w:val="001D41A4"/>
    <w:rsid w:val="001D4841"/>
    <w:rsid w:val="001E4853"/>
    <w:rsid w:val="001E5C42"/>
    <w:rsid w:val="001E769F"/>
    <w:rsid w:val="001F193C"/>
    <w:rsid w:val="001F2387"/>
    <w:rsid w:val="001F2C0D"/>
    <w:rsid w:val="001F6F72"/>
    <w:rsid w:val="00205B16"/>
    <w:rsid w:val="00212E13"/>
    <w:rsid w:val="00220A9F"/>
    <w:rsid w:val="00223E61"/>
    <w:rsid w:val="00241545"/>
    <w:rsid w:val="002568BE"/>
    <w:rsid w:val="002637DC"/>
    <w:rsid w:val="00275E16"/>
    <w:rsid w:val="00277E38"/>
    <w:rsid w:val="002A182B"/>
    <w:rsid w:val="002A47CC"/>
    <w:rsid w:val="002C1796"/>
    <w:rsid w:val="002C6B98"/>
    <w:rsid w:val="002D3CC6"/>
    <w:rsid w:val="002D6CBF"/>
    <w:rsid w:val="002E213B"/>
    <w:rsid w:val="002F125E"/>
    <w:rsid w:val="00306CCF"/>
    <w:rsid w:val="00324861"/>
    <w:rsid w:val="003271FF"/>
    <w:rsid w:val="00337F43"/>
    <w:rsid w:val="00344907"/>
    <w:rsid w:val="0035049D"/>
    <w:rsid w:val="00360776"/>
    <w:rsid w:val="003665E8"/>
    <w:rsid w:val="003679A5"/>
    <w:rsid w:val="00373739"/>
    <w:rsid w:val="00376513"/>
    <w:rsid w:val="003974ED"/>
    <w:rsid w:val="003A425A"/>
    <w:rsid w:val="003A6010"/>
    <w:rsid w:val="003B20B0"/>
    <w:rsid w:val="003B247B"/>
    <w:rsid w:val="003D5B30"/>
    <w:rsid w:val="003D6FE3"/>
    <w:rsid w:val="003E6849"/>
    <w:rsid w:val="00402083"/>
    <w:rsid w:val="00403275"/>
    <w:rsid w:val="00407C8D"/>
    <w:rsid w:val="00407D92"/>
    <w:rsid w:val="00431305"/>
    <w:rsid w:val="00437B53"/>
    <w:rsid w:val="004441B5"/>
    <w:rsid w:val="0045044B"/>
    <w:rsid w:val="00452199"/>
    <w:rsid w:val="004568B5"/>
    <w:rsid w:val="00457769"/>
    <w:rsid w:val="00462CA6"/>
    <w:rsid w:val="004649C2"/>
    <w:rsid w:val="004656C3"/>
    <w:rsid w:val="00466177"/>
    <w:rsid w:val="00477A28"/>
    <w:rsid w:val="004838D6"/>
    <w:rsid w:val="00484924"/>
    <w:rsid w:val="0049014B"/>
    <w:rsid w:val="004916A6"/>
    <w:rsid w:val="004938E4"/>
    <w:rsid w:val="004A04AC"/>
    <w:rsid w:val="004A1236"/>
    <w:rsid w:val="004B2554"/>
    <w:rsid w:val="004B349F"/>
    <w:rsid w:val="004C2A0A"/>
    <w:rsid w:val="004D3200"/>
    <w:rsid w:val="004E1069"/>
    <w:rsid w:val="004E226F"/>
    <w:rsid w:val="004F257A"/>
    <w:rsid w:val="0050143E"/>
    <w:rsid w:val="005068F3"/>
    <w:rsid w:val="00507BE6"/>
    <w:rsid w:val="00512351"/>
    <w:rsid w:val="00513E32"/>
    <w:rsid w:val="00525F17"/>
    <w:rsid w:val="005335DE"/>
    <w:rsid w:val="00534E64"/>
    <w:rsid w:val="005579B7"/>
    <w:rsid w:val="005624F8"/>
    <w:rsid w:val="005730EC"/>
    <w:rsid w:val="00582E9A"/>
    <w:rsid w:val="00594CD5"/>
    <w:rsid w:val="005A2C7D"/>
    <w:rsid w:val="005B2045"/>
    <w:rsid w:val="005B2F11"/>
    <w:rsid w:val="005B5815"/>
    <w:rsid w:val="005C2543"/>
    <w:rsid w:val="005E276B"/>
    <w:rsid w:val="005E4263"/>
    <w:rsid w:val="005E4C4A"/>
    <w:rsid w:val="005F0691"/>
    <w:rsid w:val="005F5492"/>
    <w:rsid w:val="005F5979"/>
    <w:rsid w:val="005F5D6F"/>
    <w:rsid w:val="005F778A"/>
    <w:rsid w:val="00615F7E"/>
    <w:rsid w:val="0065443D"/>
    <w:rsid w:val="00657809"/>
    <w:rsid w:val="0066021D"/>
    <w:rsid w:val="006609B0"/>
    <w:rsid w:val="00664D64"/>
    <w:rsid w:val="00665ED4"/>
    <w:rsid w:val="006755DB"/>
    <w:rsid w:val="006814C0"/>
    <w:rsid w:val="00682674"/>
    <w:rsid w:val="006843D3"/>
    <w:rsid w:val="00687001"/>
    <w:rsid w:val="006871AF"/>
    <w:rsid w:val="006877F5"/>
    <w:rsid w:val="006A2E97"/>
    <w:rsid w:val="006A5C45"/>
    <w:rsid w:val="006B5EA8"/>
    <w:rsid w:val="006D7126"/>
    <w:rsid w:val="006F1FED"/>
    <w:rsid w:val="006F4B1D"/>
    <w:rsid w:val="006F6369"/>
    <w:rsid w:val="007071C7"/>
    <w:rsid w:val="007263D3"/>
    <w:rsid w:val="0073053C"/>
    <w:rsid w:val="00730CDB"/>
    <w:rsid w:val="00734BB9"/>
    <w:rsid w:val="007360BD"/>
    <w:rsid w:val="007374C5"/>
    <w:rsid w:val="00752172"/>
    <w:rsid w:val="00757C88"/>
    <w:rsid w:val="007609CD"/>
    <w:rsid w:val="00762253"/>
    <w:rsid w:val="007709A0"/>
    <w:rsid w:val="00782D7B"/>
    <w:rsid w:val="0078772A"/>
    <w:rsid w:val="0078798B"/>
    <w:rsid w:val="00794FAC"/>
    <w:rsid w:val="007A45F2"/>
    <w:rsid w:val="007A4A53"/>
    <w:rsid w:val="007A5403"/>
    <w:rsid w:val="007A5C2A"/>
    <w:rsid w:val="007C2F93"/>
    <w:rsid w:val="007C7A35"/>
    <w:rsid w:val="007F7BAC"/>
    <w:rsid w:val="008063CF"/>
    <w:rsid w:val="00806D3B"/>
    <w:rsid w:val="00811642"/>
    <w:rsid w:val="00824843"/>
    <w:rsid w:val="0084686F"/>
    <w:rsid w:val="00850549"/>
    <w:rsid w:val="0085211B"/>
    <w:rsid w:val="0085699C"/>
    <w:rsid w:val="00861E3E"/>
    <w:rsid w:val="00881BAF"/>
    <w:rsid w:val="00885DFE"/>
    <w:rsid w:val="0089308C"/>
    <w:rsid w:val="00893FB0"/>
    <w:rsid w:val="008A04AB"/>
    <w:rsid w:val="008A2C53"/>
    <w:rsid w:val="008A382B"/>
    <w:rsid w:val="008C25B9"/>
    <w:rsid w:val="008D0260"/>
    <w:rsid w:val="008E0384"/>
    <w:rsid w:val="008E102C"/>
    <w:rsid w:val="008E4230"/>
    <w:rsid w:val="008E4C48"/>
    <w:rsid w:val="008E4CBF"/>
    <w:rsid w:val="008F0F65"/>
    <w:rsid w:val="008F5384"/>
    <w:rsid w:val="009136EA"/>
    <w:rsid w:val="00913A19"/>
    <w:rsid w:val="009236A1"/>
    <w:rsid w:val="0092684C"/>
    <w:rsid w:val="0093509C"/>
    <w:rsid w:val="009358EF"/>
    <w:rsid w:val="00944D1D"/>
    <w:rsid w:val="009553FD"/>
    <w:rsid w:val="00966B0F"/>
    <w:rsid w:val="009736E4"/>
    <w:rsid w:val="00976A3E"/>
    <w:rsid w:val="00982FC6"/>
    <w:rsid w:val="009A0F66"/>
    <w:rsid w:val="009A3200"/>
    <w:rsid w:val="009A68BB"/>
    <w:rsid w:val="009B443C"/>
    <w:rsid w:val="009C0B9D"/>
    <w:rsid w:val="009C2329"/>
    <w:rsid w:val="009C7B42"/>
    <w:rsid w:val="009D57C8"/>
    <w:rsid w:val="009E35EB"/>
    <w:rsid w:val="009F01B9"/>
    <w:rsid w:val="00A0212B"/>
    <w:rsid w:val="00A02130"/>
    <w:rsid w:val="00A07A95"/>
    <w:rsid w:val="00A1009A"/>
    <w:rsid w:val="00A11772"/>
    <w:rsid w:val="00A17CA3"/>
    <w:rsid w:val="00A25697"/>
    <w:rsid w:val="00A266D3"/>
    <w:rsid w:val="00A26B38"/>
    <w:rsid w:val="00A42A7C"/>
    <w:rsid w:val="00A5144E"/>
    <w:rsid w:val="00A531DA"/>
    <w:rsid w:val="00A566B7"/>
    <w:rsid w:val="00A636E3"/>
    <w:rsid w:val="00A65A2E"/>
    <w:rsid w:val="00A73A79"/>
    <w:rsid w:val="00A75AE6"/>
    <w:rsid w:val="00A900EB"/>
    <w:rsid w:val="00A955DE"/>
    <w:rsid w:val="00A96321"/>
    <w:rsid w:val="00A97065"/>
    <w:rsid w:val="00AA0E88"/>
    <w:rsid w:val="00AA75F5"/>
    <w:rsid w:val="00AC627A"/>
    <w:rsid w:val="00AD624C"/>
    <w:rsid w:val="00AE0DBA"/>
    <w:rsid w:val="00AE1C89"/>
    <w:rsid w:val="00AE3E41"/>
    <w:rsid w:val="00AE64FD"/>
    <w:rsid w:val="00AF7D5A"/>
    <w:rsid w:val="00B03752"/>
    <w:rsid w:val="00B06942"/>
    <w:rsid w:val="00B1640B"/>
    <w:rsid w:val="00B23E0D"/>
    <w:rsid w:val="00B2522D"/>
    <w:rsid w:val="00B26557"/>
    <w:rsid w:val="00B45EFC"/>
    <w:rsid w:val="00B477CE"/>
    <w:rsid w:val="00B702FD"/>
    <w:rsid w:val="00B80D14"/>
    <w:rsid w:val="00B95300"/>
    <w:rsid w:val="00B976A7"/>
    <w:rsid w:val="00B97718"/>
    <w:rsid w:val="00BB5C73"/>
    <w:rsid w:val="00BC316B"/>
    <w:rsid w:val="00BD044F"/>
    <w:rsid w:val="00BE01DD"/>
    <w:rsid w:val="00BE4105"/>
    <w:rsid w:val="00BE7713"/>
    <w:rsid w:val="00BF2224"/>
    <w:rsid w:val="00BF4C4A"/>
    <w:rsid w:val="00C038FF"/>
    <w:rsid w:val="00C039CA"/>
    <w:rsid w:val="00C22357"/>
    <w:rsid w:val="00C33E5E"/>
    <w:rsid w:val="00C60527"/>
    <w:rsid w:val="00C60771"/>
    <w:rsid w:val="00C71AFE"/>
    <w:rsid w:val="00C87644"/>
    <w:rsid w:val="00C915D3"/>
    <w:rsid w:val="00C94A0A"/>
    <w:rsid w:val="00C95A7B"/>
    <w:rsid w:val="00CB6337"/>
    <w:rsid w:val="00CC2510"/>
    <w:rsid w:val="00CD03A0"/>
    <w:rsid w:val="00CD4E1A"/>
    <w:rsid w:val="00CE19ED"/>
    <w:rsid w:val="00CF19BF"/>
    <w:rsid w:val="00D01D0A"/>
    <w:rsid w:val="00D04CC9"/>
    <w:rsid w:val="00D11328"/>
    <w:rsid w:val="00D366FF"/>
    <w:rsid w:val="00D507DE"/>
    <w:rsid w:val="00D52EBC"/>
    <w:rsid w:val="00D57B2C"/>
    <w:rsid w:val="00D60F5F"/>
    <w:rsid w:val="00D62AF1"/>
    <w:rsid w:val="00D65B65"/>
    <w:rsid w:val="00D65E3D"/>
    <w:rsid w:val="00D6635E"/>
    <w:rsid w:val="00D80B0C"/>
    <w:rsid w:val="00D82848"/>
    <w:rsid w:val="00D82AB0"/>
    <w:rsid w:val="00DA438A"/>
    <w:rsid w:val="00DA571C"/>
    <w:rsid w:val="00DA79D5"/>
    <w:rsid w:val="00DD1201"/>
    <w:rsid w:val="00DE160A"/>
    <w:rsid w:val="00DF0AD6"/>
    <w:rsid w:val="00DF5A71"/>
    <w:rsid w:val="00E30023"/>
    <w:rsid w:val="00E3037C"/>
    <w:rsid w:val="00E31C12"/>
    <w:rsid w:val="00E37DA6"/>
    <w:rsid w:val="00E50077"/>
    <w:rsid w:val="00E73944"/>
    <w:rsid w:val="00E7488B"/>
    <w:rsid w:val="00E77B94"/>
    <w:rsid w:val="00E811A2"/>
    <w:rsid w:val="00E82000"/>
    <w:rsid w:val="00E9280C"/>
    <w:rsid w:val="00E93249"/>
    <w:rsid w:val="00EB6D86"/>
    <w:rsid w:val="00EB7236"/>
    <w:rsid w:val="00EC01A0"/>
    <w:rsid w:val="00EC5AAE"/>
    <w:rsid w:val="00ED3A12"/>
    <w:rsid w:val="00ED3CCB"/>
    <w:rsid w:val="00ED66CF"/>
    <w:rsid w:val="00ED78C2"/>
    <w:rsid w:val="00EE07E1"/>
    <w:rsid w:val="00EF41B0"/>
    <w:rsid w:val="00EF6438"/>
    <w:rsid w:val="00F05D65"/>
    <w:rsid w:val="00F0786C"/>
    <w:rsid w:val="00F13000"/>
    <w:rsid w:val="00F276CA"/>
    <w:rsid w:val="00F27AA1"/>
    <w:rsid w:val="00F32D92"/>
    <w:rsid w:val="00F3792C"/>
    <w:rsid w:val="00F40787"/>
    <w:rsid w:val="00F421C5"/>
    <w:rsid w:val="00F45AB1"/>
    <w:rsid w:val="00F62FB2"/>
    <w:rsid w:val="00F641A7"/>
    <w:rsid w:val="00F7022E"/>
    <w:rsid w:val="00F7174E"/>
    <w:rsid w:val="00F8084B"/>
    <w:rsid w:val="00F80F95"/>
    <w:rsid w:val="00F87590"/>
    <w:rsid w:val="00F9018B"/>
    <w:rsid w:val="00F9240B"/>
    <w:rsid w:val="00F93AF3"/>
    <w:rsid w:val="00FC3C86"/>
    <w:rsid w:val="00FC6DE7"/>
    <w:rsid w:val="00FD06CB"/>
    <w:rsid w:val="00FE2E5A"/>
    <w:rsid w:val="00FE38A9"/>
    <w:rsid w:val="00FF20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A9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D6CB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6C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6CBF"/>
    <w:rPr>
      <w:rFonts w:ascii="Tahoma" w:hAnsi="Tahoma" w:cs="Tahoma"/>
      <w:sz w:val="16"/>
      <w:szCs w:val="16"/>
    </w:rPr>
  </w:style>
  <w:style w:type="character" w:styleId="Strong">
    <w:name w:val="Strong"/>
    <w:basedOn w:val="DefaultParagraphFont"/>
    <w:uiPriority w:val="22"/>
    <w:qFormat/>
    <w:rsid w:val="0013273C"/>
    <w:rPr>
      <w:b/>
      <w:bCs/>
    </w:rPr>
  </w:style>
  <w:style w:type="paragraph" w:styleId="BodyTextIndent">
    <w:name w:val="Body Text Indent"/>
    <w:basedOn w:val="Normal"/>
    <w:link w:val="BodyTextIndentChar"/>
    <w:rsid w:val="00F40787"/>
    <w:pPr>
      <w:spacing w:after="120" w:line="240" w:lineRule="auto"/>
      <w:ind w:left="360"/>
    </w:pPr>
    <w:rPr>
      <w:rFonts w:ascii="Times New Roman" w:eastAsia="Times New Roman" w:hAnsi="Times New Roman" w:cs="Times New Roman"/>
      <w:sz w:val="24"/>
      <w:szCs w:val="24"/>
      <w:lang w:eastAsia="en-US"/>
    </w:rPr>
  </w:style>
  <w:style w:type="character" w:customStyle="1" w:styleId="BodyTextIndentChar">
    <w:name w:val="Body Text Indent Char"/>
    <w:basedOn w:val="DefaultParagraphFont"/>
    <w:link w:val="BodyTextIndent"/>
    <w:rsid w:val="00F40787"/>
    <w:rPr>
      <w:rFonts w:ascii="Times New Roman" w:eastAsia="Times New Roman" w:hAnsi="Times New Roman" w:cs="Times New Roman"/>
      <w:sz w:val="24"/>
      <w:szCs w:val="24"/>
      <w:lang w:eastAsia="en-US"/>
    </w:rPr>
  </w:style>
  <w:style w:type="paragraph" w:styleId="Date">
    <w:name w:val="Date"/>
    <w:basedOn w:val="Normal"/>
    <w:next w:val="Normal"/>
    <w:link w:val="DateChar"/>
    <w:rsid w:val="00F40787"/>
    <w:pPr>
      <w:spacing w:after="0" w:line="240" w:lineRule="auto"/>
    </w:pPr>
    <w:rPr>
      <w:rFonts w:ascii="Times New Roman" w:eastAsia="Times New Roman" w:hAnsi="Times New Roman" w:cs="Times New Roman"/>
      <w:sz w:val="24"/>
      <w:szCs w:val="24"/>
      <w:lang w:eastAsia="en-US"/>
    </w:rPr>
  </w:style>
  <w:style w:type="character" w:customStyle="1" w:styleId="DateChar">
    <w:name w:val="Date Char"/>
    <w:basedOn w:val="DefaultParagraphFont"/>
    <w:link w:val="Date"/>
    <w:rsid w:val="00F40787"/>
    <w:rPr>
      <w:rFonts w:ascii="Times New Roman" w:eastAsia="Times New Roman" w:hAnsi="Times New Roman" w:cs="Times New Roman"/>
      <w:sz w:val="24"/>
      <w:szCs w:val="24"/>
      <w:lang w:eastAsia="en-US"/>
    </w:rPr>
  </w:style>
  <w:style w:type="paragraph" w:styleId="NormalWeb">
    <w:name w:val="Normal (Web)"/>
    <w:basedOn w:val="Normal"/>
    <w:uiPriority w:val="99"/>
    <w:rsid w:val="00F40787"/>
    <w:pPr>
      <w:spacing w:after="0" w:line="240" w:lineRule="auto"/>
    </w:pPr>
    <w:rPr>
      <w:rFonts w:ascii="Times New Roman" w:eastAsia="Times New Roman" w:hAnsi="Times New Roman" w:cs="Times New Roman"/>
      <w:sz w:val="24"/>
      <w:szCs w:val="24"/>
      <w:lang w:eastAsia="en-US"/>
    </w:rPr>
  </w:style>
  <w:style w:type="paragraph" w:styleId="Header">
    <w:name w:val="header"/>
    <w:basedOn w:val="Normal"/>
    <w:link w:val="HeaderChar"/>
    <w:uiPriority w:val="99"/>
    <w:semiHidden/>
    <w:unhideWhenUsed/>
    <w:rsid w:val="003A425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A425A"/>
  </w:style>
  <w:style w:type="paragraph" w:styleId="Footer">
    <w:name w:val="footer"/>
    <w:basedOn w:val="Normal"/>
    <w:link w:val="FooterChar"/>
    <w:uiPriority w:val="99"/>
    <w:unhideWhenUsed/>
    <w:rsid w:val="003A42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425A"/>
  </w:style>
  <w:style w:type="character" w:styleId="Emphasis">
    <w:name w:val="Emphasis"/>
    <w:basedOn w:val="DefaultParagraphFont"/>
    <w:uiPriority w:val="20"/>
    <w:qFormat/>
    <w:rsid w:val="00196A20"/>
    <w:rPr>
      <w:b/>
      <w:bCs/>
      <w:i w:val="0"/>
      <w:iCs w:val="0"/>
    </w:rPr>
  </w:style>
  <w:style w:type="character" w:customStyle="1" w:styleId="Hypertext">
    <w:name w:val="Hypertext"/>
    <w:rsid w:val="007360BD"/>
    <w:rPr>
      <w:color w:val="0000FF"/>
      <w:u w:val="single"/>
    </w:rPr>
  </w:style>
  <w:style w:type="character" w:styleId="Hyperlink">
    <w:name w:val="Hyperlink"/>
    <w:basedOn w:val="DefaultParagraphFont"/>
    <w:uiPriority w:val="99"/>
    <w:semiHidden/>
    <w:unhideWhenUsed/>
    <w:rsid w:val="008A04AB"/>
    <w:rPr>
      <w:color w:val="0000FF"/>
      <w:u w:val="single"/>
    </w:rPr>
  </w:style>
  <w:style w:type="paragraph" w:styleId="Index1">
    <w:name w:val="index 1"/>
    <w:basedOn w:val="Normal"/>
    <w:next w:val="Normal"/>
    <w:autoRedefine/>
    <w:uiPriority w:val="99"/>
    <w:semiHidden/>
    <w:unhideWhenUsed/>
    <w:rsid w:val="00A900EB"/>
    <w:pPr>
      <w:spacing w:after="0" w:line="240" w:lineRule="auto"/>
      <w:ind w:left="220" w:hanging="220"/>
    </w:pPr>
  </w:style>
  <w:style w:type="paragraph" w:styleId="IndexHeading">
    <w:name w:val="index heading"/>
    <w:basedOn w:val="Normal"/>
    <w:next w:val="Index1"/>
    <w:semiHidden/>
    <w:rsid w:val="00A900EB"/>
    <w:pPr>
      <w:spacing w:after="0" w:line="240" w:lineRule="auto"/>
    </w:pPr>
    <w:rPr>
      <w:rFonts w:ascii="Arial" w:eastAsia="Times New Roman" w:hAnsi="Arial" w:cs="Arial"/>
      <w:b/>
      <w:bCs/>
      <w:sz w:val="24"/>
      <w:szCs w:val="24"/>
      <w:lang w:eastAsia="en-US"/>
    </w:rPr>
  </w:style>
  <w:style w:type="character" w:customStyle="1" w:styleId="author1">
    <w:name w:val="author1"/>
    <w:basedOn w:val="DefaultParagraphFont"/>
    <w:rsid w:val="00A900EB"/>
    <w:rPr>
      <w:rFonts w:ascii="Verdana" w:hAnsi="Verdana" w:hint="default"/>
      <w:i w:val="0"/>
      <w:iCs w:val="0"/>
      <w:strike w:val="0"/>
      <w:dstrike w:val="0"/>
      <w:color w:val="000000"/>
      <w:sz w:val="20"/>
      <w:szCs w:val="20"/>
      <w:u w:val="none"/>
      <w:effect w:val="none"/>
    </w:rPr>
  </w:style>
  <w:style w:type="character" w:customStyle="1" w:styleId="blacksml1">
    <w:name w:val="blacksml1"/>
    <w:basedOn w:val="DefaultParagraphFont"/>
    <w:rsid w:val="00A900EB"/>
    <w:rPr>
      <w:rFonts w:ascii="Verdana" w:hAnsi="Verdana" w:hint="default"/>
      <w:i w:val="0"/>
      <w:iCs w:val="0"/>
      <w:strike w:val="0"/>
      <w:dstrike w:val="0"/>
      <w:color w:val="000000"/>
      <w:sz w:val="15"/>
      <w:szCs w:val="15"/>
      <w:u w:val="none"/>
      <w:effect w:val="none"/>
    </w:rPr>
  </w:style>
  <w:style w:type="character" w:customStyle="1" w:styleId="ti">
    <w:name w:val="ti"/>
    <w:basedOn w:val="DefaultParagraphFont"/>
    <w:rsid w:val="00A900EB"/>
  </w:style>
  <w:style w:type="character" w:customStyle="1" w:styleId="journal8">
    <w:name w:val="journal8"/>
    <w:basedOn w:val="DefaultParagraphFont"/>
    <w:rsid w:val="001D41A4"/>
    <w:rPr>
      <w:i/>
      <w:iCs/>
    </w:rPr>
  </w:style>
  <w:style w:type="character" w:customStyle="1" w:styleId="jnumber1">
    <w:name w:val="jnumber1"/>
    <w:basedOn w:val="DefaultParagraphFont"/>
    <w:rsid w:val="001D41A4"/>
    <w:rPr>
      <w:b/>
      <w:bCs/>
    </w:rPr>
  </w:style>
  <w:style w:type="character" w:customStyle="1" w:styleId="ref-journal1">
    <w:name w:val="ref-journal1"/>
    <w:basedOn w:val="DefaultParagraphFont"/>
    <w:rsid w:val="001D41A4"/>
    <w:rPr>
      <w:i/>
      <w:iCs/>
    </w:rPr>
  </w:style>
  <w:style w:type="character" w:customStyle="1" w:styleId="ref-vol1">
    <w:name w:val="ref-vol1"/>
    <w:basedOn w:val="DefaultParagraphFont"/>
    <w:rsid w:val="001D41A4"/>
    <w:rPr>
      <w:b/>
      <w:bCs/>
    </w:rPr>
  </w:style>
  <w:style w:type="character" w:customStyle="1" w:styleId="italics">
    <w:name w:val="italics"/>
    <w:basedOn w:val="DefaultParagraphFont"/>
    <w:rsid w:val="001D41A4"/>
  </w:style>
  <w:style w:type="character" w:customStyle="1" w:styleId="bold1">
    <w:name w:val="bold1"/>
    <w:basedOn w:val="DefaultParagraphFont"/>
    <w:rsid w:val="001D41A4"/>
    <w:rPr>
      <w:b/>
      <w:bCs/>
    </w:rPr>
  </w:style>
  <w:style w:type="character" w:customStyle="1" w:styleId="cite-month-year">
    <w:name w:val="cite-month-year"/>
    <w:basedOn w:val="DefaultParagraphFont"/>
    <w:rsid w:val="001D41A4"/>
  </w:style>
  <w:style w:type="character" w:customStyle="1" w:styleId="journalname">
    <w:name w:val="journalname"/>
    <w:basedOn w:val="DefaultParagraphFont"/>
    <w:rsid w:val="001D41A4"/>
  </w:style>
  <w:style w:type="character" w:customStyle="1" w:styleId="journalnumber">
    <w:name w:val="journalnumber"/>
    <w:basedOn w:val="DefaultParagraphFont"/>
    <w:rsid w:val="001D41A4"/>
  </w:style>
  <w:style w:type="character" w:customStyle="1" w:styleId="ti2">
    <w:name w:val="ti2"/>
    <w:basedOn w:val="DefaultParagraphFont"/>
    <w:rsid w:val="00A96321"/>
    <w:rPr>
      <w:sz w:val="22"/>
      <w:szCs w:val="22"/>
    </w:rPr>
  </w:style>
  <w:style w:type="paragraph" w:customStyle="1" w:styleId="title1">
    <w:name w:val="title1"/>
    <w:basedOn w:val="Normal"/>
    <w:rsid w:val="009C0B9D"/>
    <w:pPr>
      <w:spacing w:before="100" w:beforeAutospacing="1" w:after="0" w:line="240" w:lineRule="auto"/>
      <w:ind w:left="532"/>
    </w:pPr>
    <w:rPr>
      <w:rFonts w:ascii="Times New Roman" w:eastAsia="Times New Roman" w:hAnsi="Times New Roman" w:cs="Times New Roman"/>
      <w:lang w:eastAsia="en-US"/>
    </w:rPr>
  </w:style>
  <w:style w:type="paragraph" w:customStyle="1" w:styleId="authors1">
    <w:name w:val="authors1"/>
    <w:basedOn w:val="Normal"/>
    <w:rsid w:val="009C0B9D"/>
    <w:pPr>
      <w:spacing w:before="72" w:after="0" w:line="240" w:lineRule="atLeast"/>
      <w:ind w:left="532"/>
    </w:pPr>
    <w:rPr>
      <w:rFonts w:ascii="Times New Roman" w:eastAsia="Times New Roman" w:hAnsi="Times New Roman" w:cs="Times New Roman"/>
      <w:lang w:eastAsia="en-US"/>
    </w:rPr>
  </w:style>
  <w:style w:type="paragraph" w:customStyle="1" w:styleId="source1">
    <w:name w:val="source1"/>
    <w:basedOn w:val="Normal"/>
    <w:rsid w:val="009C0B9D"/>
    <w:pPr>
      <w:spacing w:before="120" w:after="0" w:line="240" w:lineRule="atLeast"/>
      <w:ind w:left="532"/>
    </w:pPr>
    <w:rPr>
      <w:rFonts w:ascii="Times New Roman" w:eastAsia="Times New Roman" w:hAnsi="Times New Roman" w:cs="Times New Roman"/>
      <w:sz w:val="18"/>
      <w:szCs w:val="18"/>
      <w:lang w:eastAsia="en-US"/>
    </w:rPr>
  </w:style>
  <w:style w:type="character" w:customStyle="1" w:styleId="refpreview1">
    <w:name w:val="refpreview1"/>
    <w:basedOn w:val="DefaultParagraphFont"/>
    <w:rsid w:val="00A25697"/>
    <w:rPr>
      <w:vanish/>
      <w:webHidden w:val="0"/>
      <w:shd w:val="clear" w:color="auto" w:fill="EEEEEE"/>
      <w:specVanish w:val="0"/>
    </w:rPr>
  </w:style>
</w:styles>
</file>

<file path=word/webSettings.xml><?xml version="1.0" encoding="utf-8"?>
<w:webSettings xmlns:r="http://schemas.openxmlformats.org/officeDocument/2006/relationships" xmlns:w="http://schemas.openxmlformats.org/wordprocessingml/2006/main">
  <w:divs>
    <w:div w:id="516309550">
      <w:bodyDiv w:val="1"/>
      <w:marLeft w:val="0"/>
      <w:marRight w:val="0"/>
      <w:marTop w:val="0"/>
      <w:marBottom w:val="0"/>
      <w:divBdr>
        <w:top w:val="none" w:sz="0" w:space="0" w:color="auto"/>
        <w:left w:val="none" w:sz="0" w:space="0" w:color="auto"/>
        <w:bottom w:val="none" w:sz="0" w:space="0" w:color="auto"/>
        <w:right w:val="none" w:sz="0" w:space="0" w:color="auto"/>
      </w:divBdr>
      <w:divsChild>
        <w:div w:id="871452922">
          <w:marLeft w:val="0"/>
          <w:marRight w:val="0"/>
          <w:marTop w:val="0"/>
          <w:marBottom w:val="0"/>
          <w:divBdr>
            <w:top w:val="none" w:sz="0" w:space="0" w:color="auto"/>
            <w:left w:val="none" w:sz="0" w:space="0" w:color="auto"/>
            <w:bottom w:val="none" w:sz="0" w:space="0" w:color="auto"/>
            <w:right w:val="none" w:sz="0" w:space="0" w:color="auto"/>
          </w:divBdr>
        </w:div>
        <w:div w:id="724643157">
          <w:marLeft w:val="0"/>
          <w:marRight w:val="0"/>
          <w:marTop w:val="0"/>
          <w:marBottom w:val="0"/>
          <w:divBdr>
            <w:top w:val="none" w:sz="0" w:space="0" w:color="auto"/>
            <w:left w:val="none" w:sz="0" w:space="0" w:color="auto"/>
            <w:bottom w:val="none" w:sz="0" w:space="0" w:color="auto"/>
            <w:right w:val="none" w:sz="0" w:space="0" w:color="auto"/>
          </w:divBdr>
        </w:div>
      </w:divsChild>
    </w:div>
    <w:div w:id="827131474">
      <w:bodyDiv w:val="1"/>
      <w:marLeft w:val="0"/>
      <w:marRight w:val="0"/>
      <w:marTop w:val="0"/>
      <w:marBottom w:val="0"/>
      <w:divBdr>
        <w:top w:val="none" w:sz="0" w:space="0" w:color="auto"/>
        <w:left w:val="none" w:sz="0" w:space="0" w:color="auto"/>
        <w:bottom w:val="none" w:sz="0" w:space="0" w:color="auto"/>
        <w:right w:val="none" w:sz="0" w:space="0" w:color="auto"/>
      </w:divBdr>
      <w:divsChild>
        <w:div w:id="1951160676">
          <w:marLeft w:val="0"/>
          <w:marRight w:val="0"/>
          <w:marTop w:val="0"/>
          <w:marBottom w:val="0"/>
          <w:divBdr>
            <w:top w:val="none" w:sz="0" w:space="0" w:color="auto"/>
            <w:left w:val="none" w:sz="0" w:space="0" w:color="auto"/>
            <w:bottom w:val="none" w:sz="0" w:space="0" w:color="auto"/>
            <w:right w:val="none" w:sz="0" w:space="0" w:color="auto"/>
          </w:divBdr>
        </w:div>
        <w:div w:id="43994355">
          <w:marLeft w:val="0"/>
          <w:marRight w:val="0"/>
          <w:marTop w:val="0"/>
          <w:marBottom w:val="0"/>
          <w:divBdr>
            <w:top w:val="none" w:sz="0" w:space="0" w:color="auto"/>
            <w:left w:val="none" w:sz="0" w:space="0" w:color="auto"/>
            <w:bottom w:val="none" w:sz="0" w:space="0" w:color="auto"/>
            <w:right w:val="none" w:sz="0" w:space="0" w:color="auto"/>
          </w:divBdr>
        </w:div>
        <w:div w:id="507450917">
          <w:marLeft w:val="0"/>
          <w:marRight w:val="0"/>
          <w:marTop w:val="0"/>
          <w:marBottom w:val="0"/>
          <w:divBdr>
            <w:top w:val="none" w:sz="0" w:space="0" w:color="auto"/>
            <w:left w:val="none" w:sz="0" w:space="0" w:color="auto"/>
            <w:bottom w:val="none" w:sz="0" w:space="0" w:color="auto"/>
            <w:right w:val="none" w:sz="0" w:space="0" w:color="auto"/>
          </w:divBdr>
        </w:div>
        <w:div w:id="215892587">
          <w:marLeft w:val="0"/>
          <w:marRight w:val="0"/>
          <w:marTop w:val="0"/>
          <w:marBottom w:val="0"/>
          <w:divBdr>
            <w:top w:val="none" w:sz="0" w:space="0" w:color="auto"/>
            <w:left w:val="none" w:sz="0" w:space="0" w:color="auto"/>
            <w:bottom w:val="none" w:sz="0" w:space="0" w:color="auto"/>
            <w:right w:val="none" w:sz="0" w:space="0" w:color="auto"/>
          </w:divBdr>
        </w:div>
      </w:divsChild>
    </w:div>
    <w:div w:id="1146893853">
      <w:bodyDiv w:val="1"/>
      <w:marLeft w:val="0"/>
      <w:marRight w:val="0"/>
      <w:marTop w:val="0"/>
      <w:marBottom w:val="0"/>
      <w:divBdr>
        <w:top w:val="none" w:sz="0" w:space="0" w:color="auto"/>
        <w:left w:val="none" w:sz="0" w:space="0" w:color="auto"/>
        <w:bottom w:val="none" w:sz="0" w:space="0" w:color="auto"/>
        <w:right w:val="none" w:sz="0" w:space="0" w:color="auto"/>
      </w:divBdr>
      <w:divsChild>
        <w:div w:id="1299267430">
          <w:marLeft w:val="0"/>
          <w:marRight w:val="0"/>
          <w:marTop w:val="0"/>
          <w:marBottom w:val="0"/>
          <w:divBdr>
            <w:top w:val="none" w:sz="0" w:space="0" w:color="auto"/>
            <w:left w:val="none" w:sz="0" w:space="0" w:color="auto"/>
            <w:bottom w:val="none" w:sz="0" w:space="0" w:color="auto"/>
            <w:right w:val="none" w:sz="0" w:space="0" w:color="auto"/>
          </w:divBdr>
          <w:divsChild>
            <w:div w:id="1544319306">
              <w:marLeft w:val="0"/>
              <w:marRight w:val="0"/>
              <w:marTop w:val="0"/>
              <w:marBottom w:val="0"/>
              <w:divBdr>
                <w:top w:val="none" w:sz="0" w:space="0" w:color="auto"/>
                <w:left w:val="none" w:sz="0" w:space="0" w:color="auto"/>
                <w:bottom w:val="none" w:sz="0" w:space="0" w:color="auto"/>
                <w:right w:val="none" w:sz="0" w:space="0" w:color="auto"/>
              </w:divBdr>
              <w:divsChild>
                <w:div w:id="314531595">
                  <w:marLeft w:val="0"/>
                  <w:marRight w:val="0"/>
                  <w:marTop w:val="0"/>
                  <w:marBottom w:val="0"/>
                  <w:divBdr>
                    <w:top w:val="none" w:sz="0" w:space="0" w:color="auto"/>
                    <w:left w:val="none" w:sz="0" w:space="0" w:color="auto"/>
                    <w:bottom w:val="none" w:sz="0" w:space="0" w:color="auto"/>
                    <w:right w:val="none" w:sz="0" w:space="0" w:color="auto"/>
                  </w:divBdr>
                  <w:divsChild>
                    <w:div w:id="3207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393668">
      <w:bodyDiv w:val="1"/>
      <w:marLeft w:val="0"/>
      <w:marRight w:val="0"/>
      <w:marTop w:val="0"/>
      <w:marBottom w:val="0"/>
      <w:divBdr>
        <w:top w:val="none" w:sz="0" w:space="0" w:color="auto"/>
        <w:left w:val="none" w:sz="0" w:space="0" w:color="auto"/>
        <w:bottom w:val="none" w:sz="0" w:space="0" w:color="auto"/>
        <w:right w:val="none" w:sz="0" w:space="0" w:color="auto"/>
      </w:divBdr>
      <w:divsChild>
        <w:div w:id="1856071492">
          <w:marLeft w:val="120"/>
          <w:marRight w:val="120"/>
          <w:marTop w:val="0"/>
          <w:marBottom w:val="0"/>
          <w:divBdr>
            <w:top w:val="none" w:sz="0" w:space="0" w:color="auto"/>
            <w:left w:val="none" w:sz="0" w:space="0" w:color="auto"/>
            <w:bottom w:val="none" w:sz="0" w:space="0" w:color="auto"/>
            <w:right w:val="none" w:sz="0" w:space="0" w:color="auto"/>
          </w:divBdr>
          <w:divsChild>
            <w:div w:id="1523934011">
              <w:marLeft w:val="0"/>
              <w:marRight w:val="0"/>
              <w:marTop w:val="0"/>
              <w:marBottom w:val="0"/>
              <w:divBdr>
                <w:top w:val="none" w:sz="0" w:space="0" w:color="auto"/>
                <w:left w:val="none" w:sz="0" w:space="0" w:color="auto"/>
                <w:bottom w:val="none" w:sz="0" w:space="0" w:color="auto"/>
                <w:right w:val="none" w:sz="0" w:space="0" w:color="auto"/>
              </w:divBdr>
              <w:divsChild>
                <w:div w:id="114956425">
                  <w:marLeft w:val="0"/>
                  <w:marRight w:val="0"/>
                  <w:marTop w:val="72"/>
                  <w:marBottom w:val="0"/>
                  <w:divBdr>
                    <w:top w:val="none" w:sz="0" w:space="0" w:color="auto"/>
                    <w:left w:val="none" w:sz="0" w:space="0" w:color="auto"/>
                    <w:bottom w:val="none" w:sz="0" w:space="0" w:color="auto"/>
                    <w:right w:val="none" w:sz="0" w:space="0" w:color="auto"/>
                  </w:divBdr>
                  <w:divsChild>
                    <w:div w:id="392847687">
                      <w:marLeft w:val="0"/>
                      <w:marRight w:val="0"/>
                      <w:marTop w:val="0"/>
                      <w:marBottom w:val="0"/>
                      <w:divBdr>
                        <w:top w:val="none" w:sz="0" w:space="0" w:color="auto"/>
                        <w:left w:val="none" w:sz="0" w:space="0" w:color="auto"/>
                        <w:bottom w:val="none" w:sz="0" w:space="0" w:color="auto"/>
                        <w:right w:val="none" w:sz="0" w:space="0" w:color="auto"/>
                      </w:divBdr>
                      <w:divsChild>
                        <w:div w:id="1062874696">
                          <w:marLeft w:val="120"/>
                          <w:marRight w:val="0"/>
                          <w:marTop w:val="0"/>
                          <w:marBottom w:val="0"/>
                          <w:divBdr>
                            <w:top w:val="none" w:sz="0" w:space="0" w:color="auto"/>
                            <w:left w:val="none" w:sz="0" w:space="0" w:color="auto"/>
                            <w:bottom w:val="none" w:sz="0" w:space="0" w:color="auto"/>
                            <w:right w:val="none" w:sz="0" w:space="0" w:color="auto"/>
                          </w:divBdr>
                          <w:divsChild>
                            <w:div w:id="1114401844">
                              <w:marLeft w:val="0"/>
                              <w:marRight w:val="0"/>
                              <w:marTop w:val="0"/>
                              <w:marBottom w:val="0"/>
                              <w:divBdr>
                                <w:top w:val="none" w:sz="0" w:space="0" w:color="auto"/>
                                <w:left w:val="none" w:sz="0" w:space="0" w:color="auto"/>
                                <w:bottom w:val="none" w:sz="0" w:space="0" w:color="auto"/>
                                <w:right w:val="none" w:sz="0" w:space="0" w:color="auto"/>
                              </w:divBdr>
                              <w:divsChild>
                                <w:div w:id="1385177909">
                                  <w:marLeft w:val="-12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5224251">
      <w:bodyDiv w:val="1"/>
      <w:marLeft w:val="0"/>
      <w:marRight w:val="0"/>
      <w:marTop w:val="0"/>
      <w:marBottom w:val="0"/>
      <w:divBdr>
        <w:top w:val="none" w:sz="0" w:space="0" w:color="auto"/>
        <w:left w:val="none" w:sz="0" w:space="0" w:color="auto"/>
        <w:bottom w:val="none" w:sz="0" w:space="0" w:color="auto"/>
        <w:right w:val="none" w:sz="0" w:space="0" w:color="auto"/>
      </w:divBdr>
      <w:divsChild>
        <w:div w:id="1160315953">
          <w:marLeft w:val="120"/>
          <w:marRight w:val="120"/>
          <w:marTop w:val="0"/>
          <w:marBottom w:val="0"/>
          <w:divBdr>
            <w:top w:val="none" w:sz="0" w:space="0" w:color="auto"/>
            <w:left w:val="none" w:sz="0" w:space="0" w:color="auto"/>
            <w:bottom w:val="none" w:sz="0" w:space="0" w:color="auto"/>
            <w:right w:val="none" w:sz="0" w:space="0" w:color="auto"/>
          </w:divBdr>
          <w:divsChild>
            <w:div w:id="114377518">
              <w:marLeft w:val="0"/>
              <w:marRight w:val="0"/>
              <w:marTop w:val="0"/>
              <w:marBottom w:val="0"/>
              <w:divBdr>
                <w:top w:val="none" w:sz="0" w:space="0" w:color="auto"/>
                <w:left w:val="none" w:sz="0" w:space="0" w:color="auto"/>
                <w:bottom w:val="none" w:sz="0" w:space="0" w:color="auto"/>
                <w:right w:val="none" w:sz="0" w:space="0" w:color="auto"/>
              </w:divBdr>
              <w:divsChild>
                <w:div w:id="482087864">
                  <w:marLeft w:val="0"/>
                  <w:marRight w:val="0"/>
                  <w:marTop w:val="72"/>
                  <w:marBottom w:val="0"/>
                  <w:divBdr>
                    <w:top w:val="none" w:sz="0" w:space="0" w:color="auto"/>
                    <w:left w:val="none" w:sz="0" w:space="0" w:color="auto"/>
                    <w:bottom w:val="none" w:sz="0" w:space="0" w:color="auto"/>
                    <w:right w:val="none" w:sz="0" w:space="0" w:color="auto"/>
                  </w:divBdr>
                  <w:divsChild>
                    <w:div w:id="1997491763">
                      <w:marLeft w:val="0"/>
                      <w:marRight w:val="0"/>
                      <w:marTop w:val="0"/>
                      <w:marBottom w:val="0"/>
                      <w:divBdr>
                        <w:top w:val="none" w:sz="0" w:space="0" w:color="auto"/>
                        <w:left w:val="none" w:sz="0" w:space="0" w:color="auto"/>
                        <w:bottom w:val="none" w:sz="0" w:space="0" w:color="auto"/>
                        <w:right w:val="none" w:sz="0" w:space="0" w:color="auto"/>
                      </w:divBdr>
                      <w:divsChild>
                        <w:div w:id="584459456">
                          <w:marLeft w:val="120"/>
                          <w:marRight w:val="0"/>
                          <w:marTop w:val="0"/>
                          <w:marBottom w:val="0"/>
                          <w:divBdr>
                            <w:top w:val="none" w:sz="0" w:space="0" w:color="auto"/>
                            <w:left w:val="none" w:sz="0" w:space="0" w:color="auto"/>
                            <w:bottom w:val="none" w:sz="0" w:space="0" w:color="auto"/>
                            <w:right w:val="none" w:sz="0" w:space="0" w:color="auto"/>
                          </w:divBdr>
                          <w:divsChild>
                            <w:div w:id="1986274210">
                              <w:marLeft w:val="0"/>
                              <w:marRight w:val="0"/>
                              <w:marTop w:val="0"/>
                              <w:marBottom w:val="0"/>
                              <w:divBdr>
                                <w:top w:val="none" w:sz="0" w:space="0" w:color="auto"/>
                                <w:left w:val="none" w:sz="0" w:space="0" w:color="auto"/>
                                <w:bottom w:val="none" w:sz="0" w:space="0" w:color="auto"/>
                                <w:right w:val="none" w:sz="0" w:space="0" w:color="auto"/>
                              </w:divBdr>
                              <w:divsChild>
                                <w:div w:id="1830751156">
                                  <w:marLeft w:val="-12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5630636">
      <w:bodyDiv w:val="1"/>
      <w:marLeft w:val="0"/>
      <w:marRight w:val="0"/>
      <w:marTop w:val="0"/>
      <w:marBottom w:val="0"/>
      <w:divBdr>
        <w:top w:val="none" w:sz="0" w:space="0" w:color="auto"/>
        <w:left w:val="none" w:sz="0" w:space="0" w:color="auto"/>
        <w:bottom w:val="none" w:sz="0" w:space="0" w:color="auto"/>
        <w:right w:val="none" w:sz="0" w:space="0" w:color="auto"/>
      </w:divBdr>
      <w:divsChild>
        <w:div w:id="1545824706">
          <w:marLeft w:val="120"/>
          <w:marRight w:val="120"/>
          <w:marTop w:val="0"/>
          <w:marBottom w:val="0"/>
          <w:divBdr>
            <w:top w:val="none" w:sz="0" w:space="0" w:color="auto"/>
            <w:left w:val="none" w:sz="0" w:space="0" w:color="auto"/>
            <w:bottom w:val="none" w:sz="0" w:space="0" w:color="auto"/>
            <w:right w:val="none" w:sz="0" w:space="0" w:color="auto"/>
          </w:divBdr>
          <w:divsChild>
            <w:div w:id="1314749428">
              <w:marLeft w:val="0"/>
              <w:marRight w:val="0"/>
              <w:marTop w:val="0"/>
              <w:marBottom w:val="0"/>
              <w:divBdr>
                <w:top w:val="none" w:sz="0" w:space="0" w:color="auto"/>
                <w:left w:val="none" w:sz="0" w:space="0" w:color="auto"/>
                <w:bottom w:val="none" w:sz="0" w:space="0" w:color="auto"/>
                <w:right w:val="none" w:sz="0" w:space="0" w:color="auto"/>
              </w:divBdr>
              <w:divsChild>
                <w:div w:id="256598352">
                  <w:marLeft w:val="0"/>
                  <w:marRight w:val="0"/>
                  <w:marTop w:val="72"/>
                  <w:marBottom w:val="0"/>
                  <w:divBdr>
                    <w:top w:val="none" w:sz="0" w:space="0" w:color="auto"/>
                    <w:left w:val="none" w:sz="0" w:space="0" w:color="auto"/>
                    <w:bottom w:val="none" w:sz="0" w:space="0" w:color="auto"/>
                    <w:right w:val="none" w:sz="0" w:space="0" w:color="auto"/>
                  </w:divBdr>
                  <w:divsChild>
                    <w:div w:id="1643345955">
                      <w:marLeft w:val="0"/>
                      <w:marRight w:val="0"/>
                      <w:marTop w:val="0"/>
                      <w:marBottom w:val="0"/>
                      <w:divBdr>
                        <w:top w:val="none" w:sz="0" w:space="0" w:color="auto"/>
                        <w:left w:val="none" w:sz="0" w:space="0" w:color="auto"/>
                        <w:bottom w:val="none" w:sz="0" w:space="0" w:color="auto"/>
                        <w:right w:val="none" w:sz="0" w:space="0" w:color="auto"/>
                      </w:divBdr>
                      <w:divsChild>
                        <w:div w:id="1728382966">
                          <w:marLeft w:val="120"/>
                          <w:marRight w:val="0"/>
                          <w:marTop w:val="0"/>
                          <w:marBottom w:val="0"/>
                          <w:divBdr>
                            <w:top w:val="none" w:sz="0" w:space="0" w:color="auto"/>
                            <w:left w:val="none" w:sz="0" w:space="0" w:color="auto"/>
                            <w:bottom w:val="none" w:sz="0" w:space="0" w:color="auto"/>
                            <w:right w:val="none" w:sz="0" w:space="0" w:color="auto"/>
                          </w:divBdr>
                          <w:divsChild>
                            <w:div w:id="1877892732">
                              <w:marLeft w:val="0"/>
                              <w:marRight w:val="0"/>
                              <w:marTop w:val="0"/>
                              <w:marBottom w:val="0"/>
                              <w:divBdr>
                                <w:top w:val="none" w:sz="0" w:space="0" w:color="auto"/>
                                <w:left w:val="none" w:sz="0" w:space="0" w:color="auto"/>
                                <w:bottom w:val="none" w:sz="0" w:space="0" w:color="auto"/>
                                <w:right w:val="none" w:sz="0" w:space="0" w:color="auto"/>
                              </w:divBdr>
                              <w:divsChild>
                                <w:div w:id="1883323906">
                                  <w:marLeft w:val="-12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1332349">
      <w:bodyDiv w:val="1"/>
      <w:marLeft w:val="0"/>
      <w:marRight w:val="0"/>
      <w:marTop w:val="0"/>
      <w:marBottom w:val="0"/>
      <w:divBdr>
        <w:top w:val="none" w:sz="0" w:space="0" w:color="auto"/>
        <w:left w:val="none" w:sz="0" w:space="0" w:color="auto"/>
        <w:bottom w:val="none" w:sz="0" w:space="0" w:color="auto"/>
        <w:right w:val="none" w:sz="0" w:space="0" w:color="auto"/>
      </w:divBdr>
      <w:divsChild>
        <w:div w:id="11702938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50</Pages>
  <Words>8765</Words>
  <Characters>49964</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uky</Company>
  <LinksUpToDate>false</LinksUpToDate>
  <CharactersWithSpaces>58612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cooper</dc:creator>
  <cp:keywords/>
  <dc:description/>
  <cp:lastModifiedBy> </cp:lastModifiedBy>
  <cp:revision>2</cp:revision>
  <cp:lastPrinted>2009-05-14T00:35:00Z</cp:lastPrinted>
  <dcterms:created xsi:type="dcterms:W3CDTF">2010-09-26T17:37:00Z</dcterms:created>
  <dcterms:modified xsi:type="dcterms:W3CDTF">2010-09-26T17:37:00Z</dcterms:modified>
</cp:coreProperties>
</file>